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366" w:color="003366" w:val="solid"/>
        <w:spacing w:after="80" w:before="200" w:line="240" w:lineRule="auto"/>
        <w:jc w:val="center"/>
      </w:pPr>
      <w:r>
        <w:rPr>
          <w:rFonts w:ascii="Arial" w:cs="Arial" w:eastAsia="Arial" w:hAnsi="Arial"/>
          <w:b/>
          <w:bCs/>
          <w:color w:val="FFFFFF"/>
          <w:sz w:val="26"/>
          <w:szCs w:val="26"/>
        </w:rPr>
        <w:t xml:space="preserve">CIB VISION MONOPRODUCTO | STRUCTURED FINANCE | 1Q.2025 – 1Q.2026</w:t>
      </w:r>
    </w:p>
    <w:p>
      <w:pPr>
        <w:shd w:fill="003366" w:color="003366" w:val="solid"/>
        <w:spacing w:after="200" w:before="0" w:line="240" w:lineRule="auto"/>
        <w:jc w:val="center"/>
      </w:pPr>
      <w:r>
        <w:rPr>
          <w:rFonts w:ascii="Arial" w:cs="Arial" w:eastAsia="Arial" w:hAnsi="Arial"/>
          <w:i w:val="false"/>
          <w:iCs w:val="false"/>
          <w:color w:val="FFFFFF"/>
          <w:sz w:val="16"/>
          <w:szCs w:val="16"/>
        </w:rPr>
        <w:t xml:space="preserve">Consejo de Administración CaixaBank · Ámbito: Internacional · Operaciones &gt; €100M</w:t>
      </w:r>
    </w:p>
    <w:p>
      <w:pPr>
        <w:shd w:fill="003366" w:color="003366"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€100M</w:t>
      </w:r>
    </w:p>
    <w:p>
      <w:pPr>
        <w:shd w:fill="1B5E9E" w:color="1B5E9E" w:val="solid"/>
        <w:spacing w:after="0" w:before="360" w:line="240" w:lineRule="auto"/>
      </w:pPr>
      <w:r>
        <w:rPr>
          <w:rFonts w:ascii="Arial" w:cs="Arial" w:eastAsia="Arial" w:hAnsi="Arial"/>
          <w:b/>
          <w:bCs/>
          <w:color w:val="FFFFFF"/>
          <w:sz w:val="20"/>
          <w:szCs w:val="20"/>
        </w:rPr>
        <w:t xml:space="preserve">01 | DINÁMICAS DE MERCADO — STRUCTURED FINANCE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rPr>
          <w:tblHeader/>
        </w:trPr>
        <w:tc>
          <w:tcPr>
            <w:tcW w:type="dxa" w:w="270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DINÁMICA</w:t>
            </w:r>
          </w:p>
        </w:tc>
        <w:tc>
          <w:tcPr>
            <w:tcW w:type="dxa" w:w="631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 E IMPLICACIONES PARA CIB</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1. VOLUMEN EUROPEO ALCANZA RÉCORD POST-GFC: ~€275BN EN 2025</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emisión europea de productos securitizados cerró 2025 en torno a €275bn, igualando el máximo post-crisis financiera global de 2021 y superando los €244,9bn registrados en 2024 (+12,3% YoY estimado). El volumen colocado en el mercado alcanzó niveles de calidad superior: en Q1 2025, el 61,9% de la emisión total fue efectivamente colocada (vs. 49,4% en Q4 2024), reflejando una demanda inversora sólida. El stock total de securitización europea, incluyendo CLOs, se situó en €1.253,4bn al cierre de Q2 2025 (+5,7% YoY). Las previsiones para 2026 apuntan a ~€287bn, lo que representaría otro récord histórico. Para CIB, este entorno de volúmenes crecientes y mejor absorción de mercado amplía el espacio competitivo en origination y distribución.</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2. CLOS EUROPEOS: RÉCORD DE EMISIÓN SUPERANDO €51,75BN HASTA NOVIEMBRE 2025</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mercado europeo de CLOs batió el récord de emisión anual de 2024 (€45,9bn según S&amp;P) con €51,75bn colocados hasta principios de noviembre de 2025, según datos de KopenTech. El tamaño medio de deal se situó en €431,2m, con expectativas de convergencia hacia el umbral de referencia de €500m. El mercado incorporó nuevos emisores (Royal London Asset Management, Silver Point) y amplió la base inversora hacia capital asiático, especialmente japonés, que incrementó su exposición a Europa ante la incertidumbre política en EE.UU. La tightening de spreads en liabilities, aunque progresiva, mantuvo el arbitraje CLO positivo. Este dinamismo posiciona al CLO europeo como el motor dominante del structured finance y una oportunidad de mandato de arreglo para CIB.</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3. SRT: MERCADO SINTÉTICO CONSOLIDA SU POSICIÓN ESTRATÉGICA PARA BANCOS EUROPEOS</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mercado de Significant Risk Transfer (SRT) sintético europeo registró €54,3bn de emisión en Q2 2025 (+114,6% QoQ; +77,5% YoY), consolidándose como herramienta principal de gestión de capital regulatorio bajo Basilea III. Europa concentra aproximadamente el 85% del mercado global de SRT sintético, impulsado por la claridad regulatoria del marco SECR y la profundidad del base inversora (hedge funds, aseguradoras, asset managers no sujetos a capital prudencial). El BCE formalizó en diciembre de 2025 un proceso fast-track para evaluar SRTs estandarizados, reduciendo los plazos de aprobación supervisora y acelerando la ejecución de operaciones elegibles. Los bancos que utilizan SRTs han obtenido un beneficio medio de CET1 de ~30 puntos básicos por operación. CaixaBank ya participa en este mercado como originador (operación de €2bn referenciada a SMEs y corporates españoles), con potencial de escalar actividad.</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4. CALIDAD CREDITICIA EN MÁXIMOS: 88% DE ACCIONES RATING SON UPGRADES EN Q1 2025</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Durante Q1 2025, el 88% de las acciones de rating emitidas por las principales agencias (S&amp;P, Moody's, Fitch) sobre securitizaciones europeas fueron upgrades, frente al 85% de Q4 2024. Este dato refleja la solidez del colateral subyacente y la robustez de las estructuras de subordinación, incluso en contextos de tipos elevados. El ratio de impagos en pools de referencia se ha mantenido contenido, lo que valida las asunciones de pérdida usadas en el pricing de tramos senior y mezzanine. Para inversores institucionales y bancos tenedores de ABS/CLOs, este entorno minimiza provisiones y ofrece visibilidad sobre la durabilidad del carry. Desde el punto de vista de CIB, la mejora de calidad reduce el riesgo reputacional asociado a mandatos de estructuración y amplía el universo de inversores elegibles.</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5. REGULACIÓN SECR BAJO REVISIÓN: PRESIÓN POLÍTICA Y TÉCNICA PARA RELANZAR EL MERCADO</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Comisión Europea cerró en diciembre de 2024 su consulta sobre el funcionamiento del marco de securitización (SECR), reflejando preocupaciones recogidas en los informes Letta, Noyer y Draghi sobre la fragmentación del mercado europeo vs. EE.UU. Las Autoridades Supervisoras Europeas (ESAs) generaron turbulencias en abril de 2025 al interpretar el 'sole purpose test' de forma restrictiva (máx. 50% de ingresos del originador procedentes de retenciones), forzando a múltiples gestores a revisar estructuras de CLO. En paralelo, la reforma de Solvencia II prevé reducir los requisitos de capital regulatorio para aseguradoras invertidas en CLOs, con entrada en vigor prevista en 2027, lo que expandirá materialmente la base compradora. El net regulatorio es constructivo a medio plazo, aunque introduce incertidumbre táctica en 2025. CIB debe monitorizar los cambios de Solvencia II para anticipar el flujo de capital asegurador hacia tramos investment grade de CLOs.</w:t>
            </w:r>
          </w:p>
        </w:tc>
      </w:tr>
    </w:tbl>
    <w:p>
      <w:pPr>
        <w:spacing w:after="0" w:before="200"/>
      </w:pPr>
    </w:p>
    <w:p>
      <w:pPr>
        <w:shd w:fill="1B5E9E" w:color="1B5E9E" w:val="solid"/>
        <w:spacing w:after="0" w:before="360" w:line="240" w:lineRule="auto"/>
      </w:pPr>
      <w:r>
        <w:rPr>
          <w:rFonts w:ascii="Arial" w:cs="Arial" w:eastAsia="Arial" w:hAnsi="Arial"/>
          <w:b/>
          <w:bCs/>
          <w:color w:val="FFFFFF"/>
          <w:sz w:val="20"/>
          <w:szCs w:val="20"/>
        </w:rPr>
        <w:t xml:space="preserve">02 | GRANDES OPERACIONES — STRUCTURED FINANCE  &gt;€100M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tblGrid>
      <w:tr>
        <w:trPr>
          <w:tblHeader/>
        </w:trPr>
        <w:tc>
          <w:tcPr>
            <w:tcW w:type="dxa" w:w="1986"/>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4694"/>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264"/>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1082"/>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 HAVEN HOLIDAY PARKS — CMBS PRIVADO PARA REFINANCIACIÓN DE PORTFOLIO DE PARQUES VACACIONALES UK</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Blackstone ejecutó un CMBS privado de £1,5bn para refinanciar el portfolio Haven de parques de vacaciones en el Reino Unido, en una de las mayores transacciones de CMBS privado ejecutadas en Europa en 2025. La estructura fue complementada por una operación CMBS pública de £443m, pre-comercializada intensamente. La operación demuestra la capacidad del mercado europeo de absorber estructuras de gran tamaño sobre activos de real estate no convencional (leisure/hospitality), clase de activo poco frecuente en el mercado de capitales europeo. El deal refuerza el creciente interés por activos alternativos en el formato securitizado, un segmento donde la diferenciación estructural genera alpha para los arranger banks.</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£1.500M (tramo privado) + £443M (tramo público)</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Agosto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NATWEST — SRT REFERENCIADO A £3,5BN DE PRÉSTAMOS DE REAL ESTATE COMERCIAL</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NatWest planificó y ejecutó un Significant Risk Transfer sintético referenciado a una cartera de £3,5bn ($4,6bn) de préstamos de real estate comercial (CRE), una de las operaciones de mayor envergadura en el segmento CRE-SRT en Europa durante el periodo analizado. La operación siguió la estrategia multi-SRT del banco, que en 2025 ejecutó o inició al menos tres transacciones de esta naturaleza cubriendo CRE, préstamos leveraged y activos de mercados privados. La transferencia sintética de riesgo permite a NatWest liberar capital regulatorio sin desinvertir en los activos, manteniendo la relación con el cliente. NatWest se consolidó como uno de los originadores más activos en SRT de Europa, marcando referencia en estructuración y ejecución para el resto del mercado.</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£3.500M (cartera de referencia)</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Noviembre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ABN AMRO / BLACKSTONE — SRT SINTÉTICO REFERENCIADO A €2BN DE PRÉSTAMOS CORPORATIVOS GRANDES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ABN AMRO cerró una operación de SRT sintético referenciada a una cartera de €2bn de grandes préstamos corporativos, en su primera colaboración con Blackstone como inversor en el tramo de riesgo. La operación es representativa de la expansión del universo de contrapartes en el mercado SRT, con gestores alternativos de private credit asumiendo exposición mezzanine-first loss en carteras bancarias de alta calidad. La asociación con Blackstone añade legitimidad al activo subyacente y amplía el rango de due diligence disponible para el inversor. Desde el punto de vista de la industria, la operación subraya la integración creciente entre banca tradicional y private credit en la gestión de balance.</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€2.000M (cartera de referencia) [Verificación pendiente: volumen del tramo SRT no confirmado públicamente]</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fecha exacta no confirmada en fuentes disponibles]</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CAIXABANK — SRT REFERENCIADO A €2BN DE CARTERA DE PYMES Y CORPORATES ESPAÑOLES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CaixaBank finalizó una operación de SRT sintético referenciada a una cartera de €2bn de préstamos a PYMEs y corporates españoles, marcando la participación del banco como originador activo en el mercado europeo de capital relief trades. La operación permite a CaixaBank liberar capital regulatorio bajo Basilea III manteniendo las relaciones con sus clientes corporativos y pyme. La elección del colateral (SME/corporate español) es coherente con el core business del banco e introduce diversificación geográfica para el inversor. Esta operación posiciona a CaixaBank en el segmento de SRT originators, con capacidad de escalar el programa en ejercicios sucesivos.</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€2.000M (cartera de referencia)</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fecha exacta no confirmada en fuentes primarias verificadas]</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KLARNA — WAREHOUSE DE €1,4BN PARA RECEIVABLES BNPL ALEMANES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Klarna estructuró un warehouse de €1,4bn para sus receivables de Buy Now Pay Later (BNPL) en Alemania, en agosto de 2025, en la mayor operación de financiación de activos BNPL registrada en Europa hasta la fecha. La estructura de warehouse es el paso previo a una securitización pública, mercado cuya apertura oficial se anticipaba para 2026 con el fichaje de un estructurador ABS procedente de Lloyds. Paralelamente, Klarna ejecutó la primera operación SRT sintética respaldada por exposiciones BNPL alemanas, en un movimiento de capital relief sin precedente en esta clase de activo. La operación de Elliott Investment Management ($6,5bn en flujo de préstamos de fair financing en EE.UU.) complementa la estrategia de capital markets de Klarna con alcance global.</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€1.400M (warehouse europeo)</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Agosto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ARINI CAPITAL MANAGEMENT — EUROPEAN CLO VII, CLO DE €615,7M</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Arini Capital Management emitió su European CLO VII con un volumen de €615,7m, convirtiéndose en uno de los CLOs de mayor tamaño colocados en Europa en 2025 y contribuyendo a la tendencia de ampliación del deal size medio hacia el umbral de €500-600m. El deal evidencia el apetito inversor por gestores especializados con track record demostrado en el mercado de préstamos europeos apalancados. La operación se emitió en un contexto de spreads todavía elevados en tramos equity pero con fuerte demanda en investment grade, reflejando la selectividad del mercado por calidad de gestor y portfolio. El tamaño del deal supera en más de un 40% el promedio de mercado de €431,2m, señalizando la creciente estratificación (tiering) entre gestores tier-1 y el resto del universo CLO europeo.</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€615,7M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mes exacto no confirmado en fuentes disponibles]</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VANTAGE DATA CENTERS — ABS DE CENTROS DE DATOS ALEMANES, PRIMERA OPERACIÓN PÚBLICA DEL SECTOR EN EUROPA</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Vantage Data Centers emitió en mayo de 2025 un ABS respaldado por infraestructura de centros de datos alemanes, siendo el único sponsor hasta la fecha en haber completado un deal público de data centre ABS en Europa. La operación fue galardonada como Esoteric ABS Deal of the Year en los GlobalCapital European Securitization Awards 2025 (reflectando actividad 2024), siendo arreglada por Barclays y SMBC Nikko. La clase de activo data centre ABS despertó un interés creciente para 2026, con expectativas de cuatro a seis transacciones adicionales referenciadas a instalaciones de hyperscalers. La estructura ABS para data centres requiere modelización específica del riesgo tecnológico y contractual (contratos de arrendamiento de potencia a largo plazo), lo que constituye una oportunidad de diferenciación técnica para CIB con capacidades en project finance e infraestructura digital.</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[Verificación pendiente: volumen exacto no confirmado en fuentes disponibles]</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Mayo 2025</w:t>
            </w:r>
          </w:p>
        </w:tc>
      </w:tr>
    </w:tbl>
    <w:p>
      <w:pPr>
        <w:spacing w:after="0" w:before="200"/>
      </w:pPr>
    </w:p>
    <w:p>
      <w:pPr>
        <w:shd w:fill="EDF2F8" w:color="EDF2F8"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AFME Q1 2025 Securitisation Data Report — https://www.afme.eu/publications/data-research/afme-q1-2025-securitisation-data-report/ · AFME Q2 2025 Securitisation Report — https://www.afme.eu/publications/data-research/afme-q2-2025-securitisation-report/ · AFME Securitisation Data Report Q4 2024 &amp; 2024 Full Year — https://www.afme.eu/publications/data-research/securitisation-data-report-q4-2024-2024-full-year/ · ESMA — Overview of EU Securitisation Markets — https://www.esma.europa.eu/press-news/esma-news/esma-provides-overview-eu-securitisation-markets · ESMA / JC 2025 — Joint Committee Report on the Functioning of the Securitisation Regulation (March 2025) — https://www.esma.europa.eu/sites/default/files/2025-03/JC_2025_14_Joint_Committee_report_on_the_functionning_of_the_securitisation_regulation.pdf · EBA — Risk Assessment Report December 2025 — https://www.eba.europa.eu/publications-and-media/publications/risk-assessment-report-december-2025 · EBA — Guidelines on Significant Risk Transfer (SRT) for Securitisation Transactions — https://www.eba.europa.eu/guidelines-significant-risk-transfer-srt-securitisation-transactions · ECB — Launch of Fast-Track Assessments for Capital and Securitisation (December 2025) — https://www.bankingsupervision.europa.eu/press/pr/date/2025/html/ssm.pr251219~a91bf35d93.en.html · GlobalCapital — European ABS on its feet and ready for more in 2026 — https://www.globalcapital.com/article/2fqde5s78nglqb7cnq7lt/securitization/abs-europe/european-abs-on-its-feet-and-ready-for-more-in-2026 · GlobalCapital — European CLO investors face up to tiering amid turbulent loan market — https://www.globalcapital.com/article/2fqdgacabe4il1zrtqq68/securitization/european-clo-investors-face-up-to-tiering-amid-turbulent-loan-market · GlobalCapital — European Securitization Awards 2025 — https://www.globalcapital.com/european-securitization-awards-2025 · Mayer Brown — Synthetic Risk Transfer (SRT) in 2025 — https://www.mayerbrown.com/en/insights/publications/2025/05/synthetic-risk-transfer-srt-in-2025 · Mayer Brown — ECB Fast-Track for Significant Risk Transfer (SRT) Securitisations (March 2025) — https://www.mayerbrown.com/en/insights/publications/2025/03/ecb-fast-track-for-significant-risk-transfer-srt-securitisations · Bloomberg / Bloomberg Law — NatWest SRT transactions (leverage loans, CRE, private markets) — https://news.bloomberglaw.com/banking-law/natwest-plans-srt-linked-to-3-5-billion-of-real-estate-loans · NatWest Group — Press Release Renewables SRT £1.1bn — https://www.natwestgroup.com/news-and-insights/news-room/press-releases/esg/2024/aug/natwest-executes-11bn-own-asset-securitisation-deal-as-part-of-i.html · Structured Credit Investor — Klarna BNPL ABS &amp; SRT — https://www.structuredcreditinvestor.com/news/asset-backed-finance/84228/klarna-seals-us$26bn-forward-flow-deal-to-drive-us-expansion · Klarna Investor Relations — $6.5bn Elliott Forward Flow Agreement — https://investors.klarna.com/News--Events/news/news-details/2025/Klarna-Powers-Fair-Financing-Hypergrowth-with-6.5bn-US-Agreement-f9ec92233/default.aspx · IMF Working Paper WP/25/200 — Synthetic Risk Transfers (October 2025) — https://www.imf.org/-/media/files/publications/wp/2025/english/wpiea2025200-source-pdf.pdf · ESRB Occasional Paper — The European Significant Risk Transfer Securitisation Market — https://www.esrb.europa.eu/pub/pdf/occasional/esrb.op23~07d5c3eef2.en.pdf · ARC Analytics — European ABS 2025 Report Card and Year-End Review — https://www.arcanalytics.com/insights/european-abs-report-card-2025---part-2 · Hogan Lovells — Following the Basel Brick Road: Significant Risk Transfers in 2025 — https://www.hoganlovells.com/en/publications/following-the-basel-brick-road-significant-risk-transfers-in-2025</w:t>
      </w:r>
    </w:p>
    <w:p>
      <w:pPr>
        <w:shd w:fill="EDF2F8" w:color="EDF2F8"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1Q.2026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2026-03-05T09:51:03.504Z</dcterms:created>
  <dcterms:modified xsi:type="dcterms:W3CDTF">2026-03-05T09:51:03.504Z</dcterms:modified>
</cp:coreProperties>
</file>

<file path=docProps/custom.xml><?xml version="1.0" encoding="utf-8"?>
<Properties xmlns="http://schemas.openxmlformats.org/officeDocument/2006/custom-properties" xmlns:vt="http://schemas.openxmlformats.org/officeDocument/2006/docPropsVTypes"/>
</file>