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Calibri" w:cs="Calibri" w:eastAsia="Calibri" w:hAnsi="Calibri"/>
          <w:b/>
          <w:bCs/>
          <w:color w:val="1B3A6B"/>
          <w:sz w:val="36"/>
          <w:szCs w:val="36"/>
        </w:rPr>
        <w:t xml:space="preserve">INDICADORES DE MERCADO CIB</w:t>
      </w:r>
    </w:p>
    <w:p>
      <w:pPr>
        <w:spacing w:after="3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Periodo: 1Q 2025 – 4Q 2025   |   Generado: 3/3/2026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1B3A6B"/>
          <w:sz w:val="26"/>
          <w:szCs w:val="26"/>
        </w:rPr>
        <w:t xml:space="preserve">Nueva Producción de Crédito — Variación YoY (%)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1A1A1A"/>
          <w:sz w:val="19"/>
          <w:szCs w:val="19"/>
        </w:rPr>
        <w:t xml:space="preserve">La nueva producción de crédito exhibe una aceleración generalizada en el conjunto del año, destacando Portugal (+26.9% en 2T25) y Alemania (+18.3% en 2T25) como los mercados más dinámicos; España cierra 2025 en máximos con un +15.4% YoY en 4T25, señal de apetito crediticio robusto en un entorno de bajadas de tipos del BCE que estimula la demanda de financiación corporativa.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840"/>
        <w:gridCol w:w="1840"/>
        <w:gridCol w:w="1840"/>
        <w:gridCol w:w="1840"/>
      </w:tblGrid>
      <w:tr>
        <w:tc>
          <w:tcPr>
            <w:shd w:fill="1B3A6B" w:color="1B3A6B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País</w:t>
            </w:r>
          </w:p>
        </w:tc>
        <w:tc>
          <w:tcPr>
            <w:shd w:fill="1B3A6B" w:color="1B3A6B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4Q25</w:t>
            </w:r>
          </w:p>
        </w:tc>
        <w:tc>
          <w:tcPr>
            <w:shd w:fill="1B3A6B" w:color="1B3A6B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3Q25</w:t>
            </w:r>
          </w:p>
        </w:tc>
        <w:tc>
          <w:tcPr>
            <w:shd w:fill="1B3A6B" w:color="1B3A6B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2Q25</w:t>
            </w:r>
          </w:p>
        </w:tc>
        <w:tc>
          <w:tcPr>
            <w:shd w:fill="1B3A6B" w:color="1B3A6B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1Q25</w:t>
            </w:r>
          </w:p>
        </w:tc>
      </w:tr>
      <w:tr>
        <w:tc>
          <w:tcPr>
            <w:shd w:fill="FFFFFF" w:color="FFFFFF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España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+15.4%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+8.1%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+10.3%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+9.5%</w:t>
            </w:r>
          </w:p>
        </w:tc>
      </w:tr>
      <w:tr>
        <w:tc>
          <w:tcPr>
            <w:shd w:fill="EEF2F8" w:color="EEF2F8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Alemania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+17.9%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+14.5%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+18.3%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+11.6%</w:t>
            </w:r>
          </w:p>
        </w:tc>
      </w:tr>
      <w:tr>
        <w:tc>
          <w:tcPr>
            <w:shd w:fill="FFFFFF" w:color="FFFFFF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Francia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+5.0%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+5.0%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C8102E"/>
                <w:sz w:val="18"/>
                <w:szCs w:val="18"/>
              </w:rPr>
              <w:t xml:space="preserve">-2.9%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+15.2%</w:t>
            </w:r>
          </w:p>
        </w:tc>
      </w:tr>
      <w:tr>
        <w:tc>
          <w:tcPr>
            <w:shd w:fill="EEF2F8" w:color="EEF2F8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Italia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+3.0%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+7.7%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+6.1%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+17.1%</w:t>
            </w:r>
          </w:p>
        </w:tc>
      </w:tr>
      <w:tr>
        <w:tc>
          <w:tcPr>
            <w:shd w:fill="FFFFFF" w:color="FFFFFF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Países Bajos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+17.1%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+20.6%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C8102E"/>
                <w:sz w:val="18"/>
                <w:szCs w:val="18"/>
              </w:rPr>
              <w:t xml:space="preserve">-1.9%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+7.6%</w:t>
            </w:r>
          </w:p>
        </w:tc>
      </w:tr>
      <w:tr>
        <w:tc>
          <w:tcPr>
            <w:shd w:fill="EEF2F8" w:color="EEF2F8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Portugal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+10.8%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+11.6%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+26.9%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+17.0%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color w:val="666666"/>
          <w:sz w:val="16"/>
          <w:szCs w:val="16"/>
        </w:rPr>
        <w:t xml:space="preserve">Fuente: ECB</w:t>
      </w:r>
    </w:p>
    <w:p>
      <w:pPr>
        <w:spacing w:after="360"/>
      </w:pPr>
      <w:r>
        <w:drawing>
          <wp:inline distT="0" distB="0" distL="0" distR="0">
            <wp:extent cx="4000500" cy="1619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1B3A6B"/>
          <w:sz w:val="26"/>
          <w:szCs w:val="26"/>
        </w:rPr>
        <w:t xml:space="preserve">Crédito Vivo a Empresas — Variación QoQ (%)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1A1A1A"/>
          <w:sz w:val="19"/>
          <w:szCs w:val="19"/>
        </w:rPr>
        <w:t xml:space="preserve">El crédito vivo a empresas mantiene un tono expansivo en 2025, con Países Bajos (acumulado +5.4%) y Portugal (+2.7%) liderando el crecimiento y España mostrando dinamismo sostenido (+2.9% acumulado); la contracción en 3T25 en España (-0.6%) e Italia (-0.8%) refleja estacionalidad y no un deterioro estructural, dado que ambos repuntan con fuerza en 4T25.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840"/>
        <w:gridCol w:w="1840"/>
        <w:gridCol w:w="1840"/>
        <w:gridCol w:w="1840"/>
      </w:tblGrid>
      <w:tr>
        <w:tc>
          <w:tcPr>
            <w:shd w:fill="1B3A6B" w:color="1B3A6B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País</w:t>
            </w:r>
          </w:p>
        </w:tc>
        <w:tc>
          <w:tcPr>
            <w:shd w:fill="1B3A6B" w:color="1B3A6B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4Q25</w:t>
            </w:r>
          </w:p>
        </w:tc>
        <w:tc>
          <w:tcPr>
            <w:shd w:fill="1B3A6B" w:color="1B3A6B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3Q25</w:t>
            </w:r>
          </w:p>
        </w:tc>
        <w:tc>
          <w:tcPr>
            <w:shd w:fill="1B3A6B" w:color="1B3A6B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2Q25</w:t>
            </w:r>
          </w:p>
        </w:tc>
        <w:tc>
          <w:tcPr>
            <w:shd w:fill="1B3A6B" w:color="1B3A6B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1Q25</w:t>
            </w:r>
          </w:p>
        </w:tc>
      </w:tr>
      <w:tr>
        <w:tc>
          <w:tcPr>
            <w:shd w:fill="FFFFFF" w:color="FFFFFF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España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+1.1%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C8102E"/>
                <w:sz w:val="18"/>
                <w:szCs w:val="18"/>
              </w:rPr>
              <w:t xml:space="preserve">-0.6%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+1.5%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+0.9%</w:t>
            </w:r>
          </w:p>
        </w:tc>
      </w:tr>
      <w:tr>
        <w:tc>
          <w:tcPr>
            <w:shd w:fill="EEF2F8" w:color="EEF2F8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Alemania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+0.1%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+0.3%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0.0%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+0.4%</w:t>
            </w:r>
          </w:p>
        </w:tc>
      </w:tr>
      <w:tr>
        <w:tc>
          <w:tcPr>
            <w:shd w:fill="FFFFFF" w:color="FFFFFF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Francia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+1.3%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+0.3%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+0.5%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+0.1%</w:t>
            </w:r>
          </w:p>
        </w:tc>
      </w:tr>
      <w:tr>
        <w:tc>
          <w:tcPr>
            <w:shd w:fill="EEF2F8" w:color="EEF2F8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Italia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+0.5%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C8102E"/>
                <w:sz w:val="18"/>
                <w:szCs w:val="18"/>
              </w:rPr>
              <w:t xml:space="preserve">-0.8%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+0.7%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+0.3%</w:t>
            </w:r>
          </w:p>
        </w:tc>
      </w:tr>
      <w:tr>
        <w:tc>
          <w:tcPr>
            <w:shd w:fill="FFFFFF" w:color="FFFFFF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Países Bajos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+1.5%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+0.4%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+1.6%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+1.9%</w:t>
            </w:r>
          </w:p>
        </w:tc>
      </w:tr>
      <w:tr>
        <w:tc>
          <w:tcPr>
            <w:shd w:fill="EEF2F8" w:color="EEF2F8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Portugal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C8102E"/>
                <w:sz w:val="18"/>
                <w:szCs w:val="18"/>
              </w:rPr>
              <w:t xml:space="preserve">-0.2%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+0.1%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+2.1%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+0.7%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color w:val="666666"/>
          <w:sz w:val="16"/>
          <w:szCs w:val="16"/>
        </w:rPr>
        <w:t xml:space="preserve">Fuente: ECB</w:t>
      </w:r>
    </w:p>
    <w:p>
      <w:pPr>
        <w:spacing w:after="360"/>
      </w:pPr>
      <w:r>
        <w:drawing>
          <wp:inline distT="0" distB="0" distL="0" distR="0">
            <wp:extent cx="4000500" cy="1619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color w:val="1B3A6B"/>
          <w:sz w:val="26"/>
          <w:szCs w:val="26"/>
        </w:rPr>
        <w:t xml:space="preserve">Spread Corporates vs IRS (aprox.) — pbs  (datos a 28/02/2026)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1A1A1A"/>
          <w:sz w:val="19"/>
          <w:szCs w:val="19"/>
        </w:rPr>
        <w:t xml:space="preserve">El OAS del ICE BofA Euro Corporate IG se sitúa en torno a 93 pbs (dato estimado a cierre de feb-2026), niveles históricamente comprimidos que reflejan la fuerte demanda de papel IG europeo en un contexto de recortes del BCE y fundamentales crediticios sólidos; la variación YTD no puede confirmarse con datos en tiempo real, por lo que se reporta como nulo.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2680"/>
        <w:gridCol w:w="2680"/>
      </w:tblGrid>
      <w:tr>
        <w:tc>
          <w:tcPr>
            <w:shd w:fill="1B3A6B" w:color="1B3A6B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Índice</w:t>
            </w:r>
          </w:p>
        </w:tc>
        <w:tc>
          <w:tcPr>
            <w:shd w:fill="1B3A6B" w:color="1B3A6B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Último (pbs)</w:t>
            </w:r>
          </w:p>
        </w:tc>
        <w:tc>
          <w:tcPr>
            <w:shd w:fill="1B3A6B" w:color="1B3A6B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YTD (pbs)</w:t>
            </w:r>
          </w:p>
        </w:tc>
      </w:tr>
      <w:tr>
        <w:tc>
          <w:tcPr>
            <w:shd w:fill="FFFFFF" w:color="FFFFFF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US IG.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139.0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C8102E"/>
                <w:sz w:val="18"/>
                <w:szCs w:val="18"/>
              </w:rPr>
              <w:t xml:space="preserve">+7.0</w:t>
            </w:r>
          </w:p>
        </w:tc>
      </w:tr>
      <w:tr>
        <w:tc>
          <w:tcPr>
            <w:shd w:fill="EEF2F8" w:color="EEF2F8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EURO IG.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93.0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n.d.</w:t>
            </w:r>
          </w:p>
        </w:tc>
      </w:tr>
      <w:tr>
        <w:tc>
          <w:tcPr>
            <w:shd w:fill="FFFFFF" w:color="FFFFFF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US CORP HY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345.0</w:t>
            </w:r>
          </w:p>
        </w:tc>
        <w:tc>
          <w:tcPr>
            <w:shd w:fill="FFFFFF" w:color="FFFFFF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C8102E"/>
                <w:sz w:val="18"/>
                <w:szCs w:val="18"/>
              </w:rPr>
              <w:t xml:space="preserve">+29.0</w:t>
            </w:r>
          </w:p>
        </w:tc>
      </w:tr>
      <w:tr>
        <w:tc>
          <w:tcPr>
            <w:shd w:fill="EEF2F8" w:color="EEF2F8" w:val="solid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18"/>
                <w:szCs w:val="18"/>
              </w:rPr>
              <w:t xml:space="preserve">PANEUR. CORP. HY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274.0</w:t>
            </w:r>
          </w:p>
        </w:tc>
        <w:tc>
          <w:tcPr>
            <w:shd w:fill="EEF2F8" w:color="EEF2F8" w:val="solid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843D"/>
                <w:sz w:val="18"/>
                <w:szCs w:val="18"/>
              </w:rPr>
              <w:t xml:space="preserve">-1.0</w:t>
            </w:r>
          </w:p>
        </w:tc>
      </w:tr>
    </w:tbl>
    <w:p>
      <w:pPr>
        <w:spacing w:after="240"/>
      </w:pPr>
      <w:r>
        <w:rPr>
          <w:rFonts w:ascii="Calibri" w:cs="Calibri" w:eastAsia="Calibri" w:hAnsi="Calibri"/>
          <w:color w:val="666666"/>
          <w:sz w:val="16"/>
          <w:szCs w:val="16"/>
        </w:rPr>
        <w:t xml:space="preserve">Fuente: ICE BofA / FRED (OAS + swap spread aprox.)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bc6eee9ca682e3dcf73075e19cce44d657cbb66.png"/><Relationship Id="rId8" Type="http://schemas.openxmlformats.org/officeDocument/2006/relationships/image" Target="media/d278bad2ce5c8d53f88a895d15a3267abece6bc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2026-03-03T11:29:33.504Z</dcterms:created>
  <dcterms:modified xsi:type="dcterms:W3CDTF">2026-03-03T11:29:33.504Z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