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398"/>
        <w:tblBorders>
          <w:top w:val="none" w:color="FFFFFF" w:sz="0"/>
          <w:left w:val="none" w:color="FFFFFF" w:sz="0"/>
          <w:bottom w:val="none" w:color="FFFFFF" w:sz="0"/>
          <w:right w:val="none" w:color="FFFFFF" w:sz="0"/>
          <w:insideH w:val="single" w:color="auto" w:sz="4"/>
          <w:insideV w:val="single" w:color="auto" w:sz="4"/>
        </w:tblBorders>
      </w:tblPr>
      <w:tblGrid>
        <w:gridCol w:w="15398"/>
      </w:tblGrid>
      <w:tr>
        <w:tc>
          <w:tcPr>
            <w:tcW w:type="dxa" w:w="15398"/>
            <w:tcBorders>
              <w:top w:val="none" w:color="FFFFFF" w:sz="0"/>
              <w:left w:val="none" w:color="FFFFFF" w:sz="0"/>
              <w:bottom w:val="none" w:color="FFFFFF" w:sz="0"/>
              <w:right w:val="none" w:color="FFFFFF" w:sz="0"/>
            </w:tcBorders>
            <w:shd w:fill="1A3D2B" w:val="clear"/>
            <w:tcMar>
              <w:top w:type="dxa" w:w="160"/>
              <w:left w:type="dxa" w:w="240"/>
              <w:bottom w:type="dxa" w:w="140"/>
              <w:right w:type="dxa" w:w="240"/>
            </w:tcMar>
            <w:vAlign w:val="top"/>
          </w:tcPr>
          <w:p>
            <w:pPr>
              <w:spacing w:before="0" w:after="0" w:line="240" w:lineRule="auto"/>
              <w:jc w:val="left"/>
            </w:pPr>
            <w:r>
              <w:rPr>
                <w:rFonts w:ascii="Arial" w:cs="Arial" w:eastAsia="Arial" w:hAnsi="Arial"/>
                <w:b/>
                <w:bCs/>
                <w:i w:val="false"/>
                <w:iCs w:val="false"/>
                <w:color w:val="7BBD9A"/>
                <w:sz w:val="13"/>
                <w:szCs w:val="13"/>
              </w:rPr>
              <w:t xml:space="preserve">CIB VISIÓN MONOINDUSTRIA</w:t>
            </w:r>
            <w:r>
              <w:rPr>
                <w:rFonts w:ascii="Arial" w:cs="Arial" w:eastAsia="Arial" w:hAnsi="Arial"/>
                <w:b w:val="false"/>
                <w:bCs w:val="false"/>
                <w:i w:val="false"/>
                <w:iCs w:val="false"/>
                <w:color w:val="7BBD9A"/>
                <w:sz w:val="13"/>
                <w:szCs w:val="13"/>
              </w:rPr>
              <w:t xml:space="preserve">   ·   </w:t>
            </w:r>
            <w:r>
              <w:rPr>
                <w:rFonts w:ascii="Arial" w:cs="Arial" w:eastAsia="Arial" w:hAnsi="Arial"/>
                <w:b/>
                <w:bCs/>
                <w:i w:val="false"/>
                <w:iCs w:val="false"/>
                <w:color w:val="FFFFFF"/>
                <w:sz w:val="22"/>
                <w:szCs w:val="22"/>
              </w:rPr>
              <w:t xml:space="preserve">ENERGÍA</w:t>
            </w:r>
            <w:r>
              <w:rPr>
                <w:rFonts w:ascii="Arial" w:cs="Arial" w:eastAsia="Arial" w:hAnsi="Arial"/>
                <w:b w:val="false"/>
                <w:bCs w:val="false"/>
                <w:i w:val="false"/>
                <w:iCs w:val="false"/>
                <w:color w:val="7BBD9A"/>
                <w:sz w:val="13"/>
                <w:szCs w:val="13"/>
              </w:rPr>
              <w:t xml:space="preserve">   ·   2S 2025</w:t>
            </w:r>
          </w:p>
          <w:p>
            <w:pPr>
              <w:spacing w:before="50" w:after="0" w:line="240" w:lineRule="auto"/>
              <w:jc w:val="left"/>
            </w:pPr>
            <w:r>
              <w:rPr>
                <w:rFonts w:ascii="Arial" w:cs="Arial" w:eastAsia="Arial" w:hAnsi="Arial"/>
                <w:b w:val="false"/>
                <w:bCs w:val="false"/>
                <w:i w:val="false"/>
                <w:iCs w:val="false"/>
                <w:color w:val="6AAD8A"/>
                <w:sz w:val="13"/>
                <w:szCs w:val="13"/>
              </w:rPr>
              <w:t xml:space="preserve">Consejo de Administración CaixaBank   ·   Ámbito Internacional   ·   Operaciones &gt; €100M   ·   Período: Jul–Dic 2025</w:t>
            </w:r>
          </w:p>
        </w:tc>
      </w:tr>
    </w:tbl>
    <w:p>
      <w:pPr>
        <w:spacing w:before="0" w:after="0" w:line="240" w:lineRule="auto"/>
        <w:jc w:val="left"/>
      </w:pPr>
      <w:r>
        <w:rPr>
          <w:rFonts w:ascii="Arial" w:cs="Arial" w:eastAsia="Arial" w:hAnsi="Arial"/>
          <w:b w:val="false"/>
          <w:bCs w:val="false"/>
          <w:i w:val="false"/>
          <w:iCs w:val="false"/>
          <w:color w:val="3A3A3A"/>
          <w:sz w:val="10"/>
          <w:szCs w:val="10"/>
        </w:rPr>
        <w:t xml:space="preserve"> </w:t>
      </w:r>
    </w:p>
    <w:tbl>
      <w:tblPr>
        <w:tblW w:type="dxa" w:w="15398"/>
        <w:tblBorders>
          <w:top w:val="none" w:color="FFFFFF" w:sz="0"/>
          <w:left w:val="none" w:color="FFFFFF" w:sz="0"/>
          <w:bottom w:val="none" w:color="FFFFFF" w:sz="0"/>
          <w:right w:val="none" w:color="FFFFFF" w:sz="0"/>
          <w:insideH w:val="single" w:color="auto" w:sz="4"/>
          <w:insideV w:val="single" w:color="auto" w:sz="4"/>
        </w:tblBorders>
      </w:tblPr>
      <w:tblGrid>
        <w:gridCol w:w="847"/>
        <w:gridCol w:w="14551"/>
      </w:tblGrid>
      <w:tr>
        <w:tc>
          <w:tcPr>
            <w:tcW w:type="dxa" w:w="847"/>
            <w:tcBorders>
              <w:top w:val="none" w:color="FFFFFF" w:sz="0"/>
              <w:left w:val="none" w:color="FFFFFF" w:sz="0"/>
              <w:bottom w:val="none" w:color="FFFFFF" w:sz="0"/>
              <w:right w:val="none" w:color="FFFFFF" w:sz="0"/>
            </w:tcBorders>
            <w:shd w:fill="2E8B57" w:val="clear"/>
            <w:tcMar>
              <w:top w:type="dxa" w:w="90"/>
              <w:left w:type="dxa" w:w="80"/>
              <w:bottom w:type="dxa" w:w="90"/>
              <w:right w:type="dxa" w:w="80"/>
            </w:tcMar>
            <w:vAlign w:val="top"/>
          </w:tcPr>
          <w:p>
            <w:pPr>
              <w:spacing w:before="0" w:after="0" w:line="240" w:lineRule="auto"/>
              <w:jc w:val="center"/>
            </w:pPr>
            <w:r>
              <w:rPr>
                <w:rFonts w:ascii="Arial" w:cs="Arial" w:eastAsia="Arial" w:hAnsi="Arial"/>
                <w:b/>
                <w:bCs/>
                <w:i w:val="false"/>
                <w:iCs w:val="false"/>
                <w:color w:val="FFFFFF"/>
                <w:sz w:val="18"/>
                <w:szCs w:val="18"/>
              </w:rPr>
              <w:t xml:space="preserve">01</w:t>
            </w:r>
          </w:p>
        </w:tc>
        <w:tc>
          <w:tcPr>
            <w:tcW w:type="dxa" w:w="14551"/>
            <w:tcBorders>
              <w:top w:val="none" w:color="FFFFFF" w:sz="0"/>
              <w:left w:val="none" w:color="FFFFFF" w:sz="0"/>
              <w:bottom w:val="none" w:color="FFFFFF" w:sz="0"/>
              <w:right w:val="none" w:color="FFFFFF" w:sz="0"/>
            </w:tcBorders>
            <w:shd w:fill="2E6B45" w:val="clear"/>
            <w:tcMar>
              <w:top w:type="dxa" w:w="90"/>
              <w:left w:type="dxa" w:w="200"/>
              <w:bottom w:type="dxa" w:w="90"/>
              <w:right w:type="dxa" w:w="140"/>
            </w:tcMar>
            <w:vAlign w:val="top"/>
          </w:tcPr>
          <w:p>
            <w:pPr>
              <w:spacing w:before="0" w:after="0" w:line="240" w:lineRule="auto"/>
              <w:jc w:val="left"/>
            </w:pPr>
            <w:r>
              <w:rPr>
                <w:rFonts w:ascii="Arial" w:cs="Arial" w:eastAsia="Arial" w:hAnsi="Arial"/>
                <w:b/>
                <w:bCs/>
                <w:i w:val="false"/>
                <w:iCs w:val="false"/>
                <w:color w:val="FFFFFF"/>
                <w:sz w:val="17"/>
                <w:szCs w:val="17"/>
              </w:rPr>
              <w:t xml:space="preserve">DINÁMICAS DE MERCADO — INDUSTRIA ENERGÍA  ·  2S 2025</w:t>
            </w:r>
          </w:p>
        </w:tc>
      </w:tr>
    </w:tbl>
    <w:p>
      <w:pPr>
        <w:spacing w:before="0" w:after="0" w:line="240" w:lineRule="auto"/>
        <w:jc w:val="left"/>
      </w:pPr>
      <w:r>
        <w:rPr>
          <w:rFonts w:ascii="Arial" w:cs="Arial" w:eastAsia="Arial" w:hAnsi="Arial"/>
          <w:b w:val="false"/>
          <w:bCs w:val="false"/>
          <w:i w:val="false"/>
          <w:iCs w:val="false"/>
          <w:color w:val="3A3A3A"/>
          <w:sz w:val="8"/>
          <w:szCs w:val="8"/>
        </w:rPr>
        <w:t xml:space="preserve"> </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616"/>
        <w:gridCol w:w="3926"/>
        <w:gridCol w:w="8315"/>
        <w:gridCol w:w="2541"/>
      </w:tblGrid>
      <w:tr>
        <w:tc>
          <w:tcPr>
            <w:tcW w:type="dxa" w:w="616"/>
            <w:tcBorders>
              <w:top w:val="single" w:color="1A3D2B" w:sz="1"/>
              <w:left w:val="single" w:color="1A3D2B" w:sz="1"/>
              <w:bottom w:val="single" w:color="1A3D2B" w:sz="1"/>
              <w:right w:val="single" w:color="1A3D2B" w:sz="1"/>
            </w:tcBorders>
            <w:shd w:fill="1A3D2B" w:val="clear"/>
            <w:tcMar>
              <w:top w:type="dxa" w:w="80"/>
              <w:left w:type="dxa" w:w="60"/>
              <w:bottom w:type="dxa" w:w="80"/>
              <w:right w:type="dxa" w:w="60"/>
            </w:tcMar>
            <w:vAlign w:val="top"/>
          </w:tcPr>
          <w:p>
            <w:pPr>
              <w:spacing w:before="0" w:after="0" w:line="240" w:lineRule="auto"/>
              <w:jc w:val="center"/>
            </w:pPr>
            <w:r>
              <w:rPr>
                <w:rFonts w:ascii="Arial" w:cs="Arial" w:eastAsia="Arial" w:hAnsi="Arial"/>
                <w:b/>
                <w:bCs/>
                <w:i w:val="false"/>
                <w:iCs w:val="false"/>
                <w:color w:val="FFFFFF"/>
                <w:sz w:val="14"/>
                <w:szCs w:val="14"/>
              </w:rPr>
              <w:t xml:space="preserve">N°</w:t>
            </w:r>
          </w:p>
        </w:tc>
        <w:tc>
          <w:tcPr>
            <w:tcW w:type="dxa" w:w="3926"/>
            <w:tcBorders>
              <w:top w:val="single" w:color="1A3D2B" w:sz="1"/>
              <w:left w:val="single" w:color="1A3D2B" w:sz="1"/>
              <w:bottom w:val="single" w:color="1A3D2B" w:sz="1"/>
              <w:right w:val="single" w:color="1A3D2B" w:sz="1"/>
            </w:tcBorders>
            <w:shd w:fill="1A3D2B" w:val="clear"/>
            <w:tcMar>
              <w:top w:type="dxa" w:w="80"/>
              <w:left w:type="dxa" w:w="140"/>
              <w:bottom w:type="dxa" w:w="80"/>
              <w:right w:type="dxa" w:w="140"/>
            </w:tcMar>
            <w:vAlign w:val="top"/>
          </w:tcPr>
          <w:p>
            <w:pPr>
              <w:spacing w:before="0" w:after="0" w:line="240" w:lineRule="auto"/>
              <w:jc w:val="left"/>
            </w:pPr>
            <w:r>
              <w:rPr>
                <w:rFonts w:ascii="Arial" w:cs="Arial" w:eastAsia="Arial" w:hAnsi="Arial"/>
                <w:b/>
                <w:bCs/>
                <w:i w:val="false"/>
                <w:iCs w:val="false"/>
                <w:color w:val="FFFFFF"/>
                <w:sz w:val="14"/>
                <w:szCs w:val="14"/>
              </w:rPr>
              <w:t xml:space="preserve">TITULAR</w:t>
            </w:r>
          </w:p>
        </w:tc>
        <w:tc>
          <w:tcPr>
            <w:tcW w:type="dxa" w:w="8315"/>
            <w:tcBorders>
              <w:top w:val="single" w:color="1A3D2B" w:sz="1"/>
              <w:left w:val="single" w:color="1A3D2B" w:sz="1"/>
              <w:bottom w:val="single" w:color="1A3D2B" w:sz="1"/>
              <w:right w:val="single" w:color="1A3D2B" w:sz="1"/>
            </w:tcBorders>
            <w:shd w:fill="1A3D2B" w:val="clear"/>
            <w:tcMar>
              <w:top w:type="dxa" w:w="80"/>
              <w:left w:type="dxa" w:w="140"/>
              <w:bottom w:type="dxa" w:w="80"/>
              <w:right w:type="dxa" w:w="140"/>
            </w:tcMar>
            <w:vAlign w:val="top"/>
          </w:tcPr>
          <w:p>
            <w:pPr>
              <w:spacing w:before="0" w:after="0" w:line="240" w:lineRule="auto"/>
              <w:jc w:val="left"/>
            </w:pPr>
            <w:r>
              <w:rPr>
                <w:rFonts w:ascii="Arial" w:cs="Arial" w:eastAsia="Arial" w:hAnsi="Arial"/>
                <w:b/>
                <w:bCs/>
                <w:i w:val="false"/>
                <w:iCs w:val="false"/>
                <w:color w:val="FFFFFF"/>
                <w:sz w:val="14"/>
                <w:szCs w:val="14"/>
              </w:rPr>
              <w:t xml:space="preserve">DESARROLLO Y VALORACIÓN ESTRATÉGICA</w:t>
            </w:r>
          </w:p>
        </w:tc>
        <w:tc>
          <w:tcPr>
            <w:tcW w:type="dxa" w:w="2541"/>
            <w:tcBorders>
              <w:top w:val="single" w:color="1A3D2B" w:sz="1"/>
              <w:left w:val="single" w:color="1A3D2B" w:sz="1"/>
              <w:bottom w:val="single" w:color="1A3D2B" w:sz="1"/>
              <w:right w:val="single" w:color="1A3D2B" w:sz="1"/>
            </w:tcBorders>
            <w:shd w:fill="1A3D2B" w:val="clear"/>
            <w:tcMar>
              <w:top w:type="dxa" w:w="80"/>
              <w:left w:type="dxa" w:w="140"/>
              <w:bottom w:type="dxa" w:w="80"/>
              <w:right w:type="dxa" w:w="140"/>
            </w:tcMar>
            <w:vAlign w:val="top"/>
          </w:tcPr>
          <w:p>
            <w:pPr>
              <w:spacing w:before="0" w:after="0" w:line="240" w:lineRule="auto"/>
              <w:jc w:val="left"/>
            </w:pPr>
            <w:r>
              <w:rPr>
                <w:rFonts w:ascii="Arial" w:cs="Arial" w:eastAsia="Arial" w:hAnsi="Arial"/>
                <w:b/>
                <w:bCs/>
                <w:i w:val="false"/>
                <w:iCs w:val="false"/>
                <w:color w:val="FFFFFF"/>
                <w:sz w:val="14"/>
                <w:szCs w:val="14"/>
              </w:rPr>
              <w:t xml:space="preserve">ETIQUETA</w:t>
            </w:r>
          </w:p>
        </w:tc>
      </w:tr>
      <w:tr>
        <w:tc>
          <w:tcPr>
            <w:tcW w:type="dxa" w:w="616"/>
            <w:tcBorders>
              <w:top w:val="single" w:color="CCCCCC" w:sz="1"/>
              <w:left w:val="single" w:color="CCCCCC" w:sz="1"/>
              <w:bottom w:val="single" w:color="CCCCCC" w:sz="1"/>
              <w:right w:val="single" w:color="CCCCCC" w:sz="1"/>
            </w:tcBorders>
            <w:shd w:fill="EAF5EE" w:val="clear"/>
            <w:tcMar>
              <w:top w:type="dxa" w:w="120"/>
              <w:left w:type="dxa" w:w="60"/>
              <w:bottom w:type="dxa" w:w="120"/>
              <w:right w:type="dxa" w:w="60"/>
            </w:tcMar>
            <w:vAlign w:val="top"/>
          </w:tcPr>
          <w:p>
            <w:pPr>
              <w:spacing w:before="0" w:after="0" w:line="240" w:lineRule="auto"/>
              <w:jc w:val="center"/>
            </w:pPr>
            <w:r>
              <w:rPr>
                <w:rFonts w:ascii="Arial" w:cs="Arial" w:eastAsia="Arial" w:hAnsi="Arial"/>
                <w:b/>
                <w:bCs/>
                <w:i w:val="false"/>
                <w:iCs w:val="false"/>
                <w:color w:val="2E8B57"/>
                <w:sz w:val="18"/>
                <w:szCs w:val="18"/>
              </w:rPr>
              <w:t xml:space="preserve">01</w:t>
            </w:r>
          </w:p>
        </w:tc>
        <w:tc>
          <w:tcPr>
            <w:tcW w:type="dxa" w:w="3926"/>
            <w:tcBorders>
              <w:top w:val="single" w:color="CCCCCC" w:sz="1"/>
              <w:left w:val="single" w:color="CCCCCC" w:sz="1"/>
              <w:bottom w:val="single" w:color="CCCCCC" w:sz="1"/>
              <w:right w:val="single" w:color="CCCCCC" w:sz="1"/>
            </w:tcBorders>
            <w:shd w:fill="D6EAE0"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1A3D2B"/>
                <w:sz w:val="15"/>
                <w:szCs w:val="15"/>
              </w:rPr>
              <w:t xml:space="preserve">INVERSIÓN ENERGÉTICA GLOBAL EN MÁXIMOS HISTÓRICOS — $3,3 BILLONES EN 2025</w:t>
            </w:r>
          </w:p>
        </w:tc>
        <w:tc>
          <w:tcPr>
            <w:tcW w:type="dxa" w:w="8315"/>
            <w:tcBorders>
              <w:top w:val="single" w:color="CCCCCC" w:sz="1"/>
              <w:left w:val="single" w:color="CCCCCC" w:sz="1"/>
              <w:bottom w:val="single" w:color="CCCCCC" w:sz="1"/>
              <w:right w:val="single" w:color="CCCCCC" w:sz="1"/>
            </w:tcBorders>
            <w:shd w:fill="EAF5EE" w:val="clear"/>
            <w:tcMar>
              <w:top w:type="dxa" w:w="120"/>
              <w:left w:type="dxa" w:w="140"/>
              <w:bottom w:type="dxa" w:w="120"/>
              <w:right w:type="dxa" w:w="140"/>
            </w:tcMar>
            <w:vAlign w:val="top"/>
          </w:tcPr>
          <w:p>
            <w:pPr>
              <w:spacing w:before="0" w:after="0" w:line="240" w:lineRule="auto"/>
              <w:jc w:val="left"/>
            </w:pPr>
            <w:r>
              <w:rPr>
                <w:rFonts w:ascii="Arial" w:cs="Arial" w:eastAsia="Arial" w:hAnsi="Arial"/>
                <w:b w:val="false"/>
                <w:bCs w:val="false"/>
                <w:i w:val="false"/>
                <w:iCs w:val="false"/>
                <w:color w:val="3A3A3A"/>
                <w:sz w:val="16"/>
                <w:szCs w:val="16"/>
              </w:rPr>
              <w:t xml:space="preserve">La inversión energética mundial alcanzará $3,3 billones en 2025, récord absoluto y un +2% real sobre 2024 (IEA, World Energy Investment 2025). La energía limpia absorbe $2,2 billones —dos tercios del total— frente a $1,1 billones en combustibles fósiles, la primera vez que esta ratio supera 2:1 de forma consolidada. La solar fotovoltaica lidera con $450 bn de inversión proyectada, la mayor de cualquier tecnología energética. El almacenamiento en baterías supera los $65 bn (+67% en dos años). La inversión en redes eléctricas asciende a $400 bn anuales pero sigue insuficiente para acompañar el ritmo de generación y electrificación. La inversión en transición energética global (BloombergNEF) alcanzó un récord de $2,3 billones en 2025, un +8% respecto a 2024, con la UE liderando el crecimiento regional (+18% hasta $455 bn). Señal clave para CIB: el mercado de financiación de proyectos de energía es el más grande y activo de la historia.</w:t>
            </w:r>
          </w:p>
        </w:tc>
        <w:tc>
          <w:tcPr>
            <w:tcW w:type="dxa" w:w="2541"/>
            <w:tcBorders>
              <w:top w:val="single" w:color="CCCCCC" w:sz="1"/>
              <w:left w:val="single" w:color="CCCCCC" w:sz="1"/>
              <w:bottom w:val="single" w:color="CCCCCC" w:sz="1"/>
              <w:right w:val="single" w:color="CCCCCC" w:sz="1"/>
            </w:tcBorders>
            <w:shd w:fill="EAF5EE"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2E6B45"/>
                <w:sz w:val="13"/>
                <w:szCs w:val="13"/>
              </w:rPr>
              <w:t xml:space="preserve">CAPEX  ·  INVERSIÓN GLOBAL</w:t>
            </w:r>
          </w:p>
        </w:tc>
      </w:tr>
      <w:tr>
        <w:tc>
          <w:tcPr>
            <w:tcW w:type="dxa" w:w="616"/>
            <w:tcBorders>
              <w:top w:val="single" w:color="CCCCCC" w:sz="1"/>
              <w:left w:val="single" w:color="CCCCCC" w:sz="1"/>
              <w:bottom w:val="single" w:color="CCCCCC" w:sz="1"/>
              <w:right w:val="single" w:color="CCCCCC" w:sz="1"/>
            </w:tcBorders>
            <w:shd w:fill="FFFFFF" w:val="clear"/>
            <w:tcMar>
              <w:top w:type="dxa" w:w="120"/>
              <w:left w:type="dxa" w:w="60"/>
              <w:bottom w:type="dxa" w:w="120"/>
              <w:right w:type="dxa" w:w="60"/>
            </w:tcMar>
            <w:vAlign w:val="top"/>
          </w:tcPr>
          <w:p>
            <w:pPr>
              <w:spacing w:before="0" w:after="0" w:line="240" w:lineRule="auto"/>
              <w:jc w:val="center"/>
            </w:pPr>
            <w:r>
              <w:rPr>
                <w:rFonts w:ascii="Arial" w:cs="Arial" w:eastAsia="Arial" w:hAnsi="Arial"/>
                <w:b/>
                <w:bCs/>
                <w:i w:val="false"/>
                <w:iCs w:val="false"/>
                <w:color w:val="2E8B57"/>
                <w:sz w:val="18"/>
                <w:szCs w:val="18"/>
              </w:rPr>
              <w:t xml:space="preserve">02</w:t>
            </w:r>
          </w:p>
        </w:tc>
        <w:tc>
          <w:tcPr>
            <w:tcW w:type="dxa" w:w="3926"/>
            <w:tcBorders>
              <w:top w:val="single" w:color="CCCCCC" w:sz="1"/>
              <w:left w:val="single" w:color="CCCCCC" w:sz="1"/>
              <w:bottom w:val="single" w:color="CCCCCC" w:sz="1"/>
              <w:right w:val="single" w:color="CCCCCC" w:sz="1"/>
            </w:tcBorders>
            <w:shd w:fill="E0E0E0"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1A3D2B"/>
                <w:sz w:val="15"/>
                <w:szCs w:val="15"/>
              </w:rPr>
              <w:t xml:space="preserve">DEMANDA ENERGÉTICA POR IA Y DATA CENTERS — NUEVO DRIVER ESTRUCTURAL DE M&amp;A</w:t>
            </w:r>
          </w:p>
        </w:tc>
        <w:tc>
          <w:tcPr>
            <w:tcW w:type="dxa" w:w="8315"/>
            <w:tcBorders>
              <w:top w:val="single" w:color="CCCCCC" w:sz="1"/>
              <w:left w:val="single" w:color="CCCCCC" w:sz="1"/>
              <w:bottom w:val="single" w:color="CCCCCC" w:sz="1"/>
              <w:right w:val="single" w:color="CCCCCC" w:sz="1"/>
            </w:tcBorders>
            <w:shd w:fill="FFFFFF" w:val="clear"/>
            <w:tcMar>
              <w:top w:type="dxa" w:w="120"/>
              <w:left w:type="dxa" w:w="140"/>
              <w:bottom w:type="dxa" w:w="120"/>
              <w:right w:type="dxa" w:w="140"/>
            </w:tcMar>
            <w:vAlign w:val="top"/>
          </w:tcPr>
          <w:p>
            <w:pPr>
              <w:spacing w:before="0" w:after="0" w:line="240" w:lineRule="auto"/>
              <w:jc w:val="left"/>
            </w:pPr>
            <w:r>
              <w:rPr>
                <w:rFonts w:ascii="Arial" w:cs="Arial" w:eastAsia="Arial" w:hAnsi="Arial"/>
                <w:b w:val="false"/>
                <w:bCs w:val="false"/>
                <w:i w:val="false"/>
                <w:iCs w:val="false"/>
                <w:color w:val="3A3A3A"/>
                <w:sz w:val="16"/>
                <w:szCs w:val="16"/>
              </w:rPr>
              <w:t xml:space="preserve">La explosión de centros de datos ligados a la inteligencia artificial está reconfigurando los mercados de energía y generando una ola inédita de transacciones M&amp;A en el sector. BloombergNEF sitúa la inversión en data centers en ~$500 bn en 2025, por delante de la solar y detrás únicamente del transporte electrificado. La demanda eléctrica de data centers podría duplicarse hasta 950 TWh en 2030 (IEA), requiriendo $170 bn adicionales en nueva capacidad de generación. Las grandes tecnológicas están integrando verticalmente la generación energética (Alphabet/Google adquiere Intersect Power por $4,75 bn, dic-25). La energía dispatchable —gas natural, nuclear, geotérmica— recupera centralidad estratégica al complementar las renovables intermitentes. Los activos de generación existente de gas tienen una prima de mercado inédita. La convergencia energía-tecnología-infraestructura está creando una nueva clase de dealmaking con implicaciones directas para los bancos de inversión.</w:t>
            </w:r>
          </w:p>
        </w:tc>
        <w:tc>
          <w:tcPr>
            <w:tcW w:type="dxa" w:w="2541"/>
            <w:tcBorders>
              <w:top w:val="single" w:color="CCCCCC" w:sz="1"/>
              <w:left w:val="single" w:color="CCCCCC" w:sz="1"/>
              <w:bottom w:val="single" w:color="CCCCCC" w:sz="1"/>
              <w:right w:val="single" w:color="CCCCCC" w:sz="1"/>
            </w:tcBorders>
            <w:shd w:fill="FFFFFF"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2E6B45"/>
                <w:sz w:val="13"/>
                <w:szCs w:val="13"/>
              </w:rPr>
              <w:t xml:space="preserve">IA  ·  M&amp;A  ·  DATOS</w:t>
            </w:r>
          </w:p>
        </w:tc>
      </w:tr>
      <w:tr>
        <w:tc>
          <w:tcPr>
            <w:tcW w:type="dxa" w:w="616"/>
            <w:tcBorders>
              <w:top w:val="single" w:color="CCCCCC" w:sz="1"/>
              <w:left w:val="single" w:color="CCCCCC" w:sz="1"/>
              <w:bottom w:val="single" w:color="CCCCCC" w:sz="1"/>
              <w:right w:val="single" w:color="CCCCCC" w:sz="1"/>
            </w:tcBorders>
            <w:shd w:fill="EAF5EE" w:val="clear"/>
            <w:tcMar>
              <w:top w:type="dxa" w:w="120"/>
              <w:left w:type="dxa" w:w="60"/>
              <w:bottom w:type="dxa" w:w="120"/>
              <w:right w:type="dxa" w:w="60"/>
            </w:tcMar>
            <w:vAlign w:val="top"/>
          </w:tcPr>
          <w:p>
            <w:pPr>
              <w:spacing w:before="0" w:after="0" w:line="240" w:lineRule="auto"/>
              <w:jc w:val="center"/>
            </w:pPr>
            <w:r>
              <w:rPr>
                <w:rFonts w:ascii="Arial" w:cs="Arial" w:eastAsia="Arial" w:hAnsi="Arial"/>
                <w:b/>
                <w:bCs/>
                <w:i w:val="false"/>
                <w:iCs w:val="false"/>
                <w:color w:val="2E8B57"/>
                <w:sz w:val="18"/>
                <w:szCs w:val="18"/>
              </w:rPr>
              <w:t xml:space="preserve">03</w:t>
            </w:r>
          </w:p>
        </w:tc>
        <w:tc>
          <w:tcPr>
            <w:tcW w:type="dxa" w:w="3926"/>
            <w:tcBorders>
              <w:top w:val="single" w:color="CCCCCC" w:sz="1"/>
              <w:left w:val="single" w:color="CCCCCC" w:sz="1"/>
              <w:bottom w:val="single" w:color="CCCCCC" w:sz="1"/>
              <w:right w:val="single" w:color="CCCCCC" w:sz="1"/>
            </w:tcBorders>
            <w:shd w:fill="D6EAE0"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1A3D2B"/>
                <w:sz w:val="15"/>
                <w:szCs w:val="15"/>
              </w:rPr>
              <w:t xml:space="preserve">M&amp;A EN ENERGÍA — CONSOLIDACIÓN SIN PRECEDENTE: $333 bn ENRC EN 2025</w:t>
            </w:r>
          </w:p>
        </w:tc>
        <w:tc>
          <w:tcPr>
            <w:tcW w:type="dxa" w:w="8315"/>
            <w:tcBorders>
              <w:top w:val="single" w:color="CCCCCC" w:sz="1"/>
              <w:left w:val="single" w:color="CCCCCC" w:sz="1"/>
              <w:bottom w:val="single" w:color="CCCCCC" w:sz="1"/>
              <w:right w:val="single" w:color="CCCCCC" w:sz="1"/>
            </w:tcBorders>
            <w:shd w:fill="EAF5EE" w:val="clear"/>
            <w:tcMar>
              <w:top w:type="dxa" w:w="120"/>
              <w:left w:type="dxa" w:w="140"/>
              <w:bottom w:type="dxa" w:w="120"/>
              <w:right w:type="dxa" w:w="140"/>
            </w:tcMar>
            <w:vAlign w:val="top"/>
          </w:tcPr>
          <w:p>
            <w:pPr>
              <w:spacing w:before="0" w:after="0" w:line="240" w:lineRule="auto"/>
              <w:jc w:val="left"/>
            </w:pPr>
            <w:r>
              <w:rPr>
                <w:rFonts w:ascii="Arial" w:cs="Arial" w:eastAsia="Arial" w:hAnsi="Arial"/>
                <w:b w:val="false"/>
                <w:bCs w:val="false"/>
                <w:i w:val="false"/>
                <w:iCs w:val="false"/>
                <w:color w:val="3A3A3A"/>
                <w:sz w:val="16"/>
                <w:szCs w:val="16"/>
              </w:rPr>
              <w:t xml:space="preserve">El valor del M&amp;A en el sector energético y recursos naturales (ENRC) alcanzó $333,7 bn en 2025, un +31,3% respecto a 2024 ($254,2 bn), con 20 megaoperaciones (&gt;$5 bn) frente a solo 6 en 2024 (PwC). El segundo semestre 2025 impulsó la mayor parte del valor: $193,5 bn en H2 (+38% respecto a H1). Las cinco operaciones más representativas del período incluyen: Constellation Energy/Calpine ($26,6 bn, EV), la mayor fusión en generación eléctrica en EE.UU. en décadas; Sempra/KKR—CPP Investments ($10 bn) en infraestructura LNG; Baker Hughes/Chart Industries ($13,6 bn, todo cash) en tecnología energética; y Alphabet/Intersect Power ($4,75 bn) en renovables-infraestructura. El patrón dominante: menos operaciones pero de mayor tamaño, orientadas a gas dispatchable, infraestructura LNG, escala en utilities reguladas y control vertical de la energía para data centers.</w:t>
            </w:r>
          </w:p>
        </w:tc>
        <w:tc>
          <w:tcPr>
            <w:tcW w:type="dxa" w:w="2541"/>
            <w:tcBorders>
              <w:top w:val="single" w:color="CCCCCC" w:sz="1"/>
              <w:left w:val="single" w:color="CCCCCC" w:sz="1"/>
              <w:bottom w:val="single" w:color="CCCCCC" w:sz="1"/>
              <w:right w:val="single" w:color="CCCCCC" w:sz="1"/>
            </w:tcBorders>
            <w:shd w:fill="EAF5EE"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2E6B45"/>
                <w:sz w:val="13"/>
                <w:szCs w:val="13"/>
              </w:rPr>
              <w:t xml:space="preserve">M&amp;A  ·  CONSOLIDACIÓN</w:t>
            </w:r>
          </w:p>
        </w:tc>
      </w:tr>
      <w:tr>
        <w:tc>
          <w:tcPr>
            <w:tcW w:type="dxa" w:w="616"/>
            <w:tcBorders>
              <w:top w:val="single" w:color="CCCCCC" w:sz="1"/>
              <w:left w:val="single" w:color="CCCCCC" w:sz="1"/>
              <w:bottom w:val="single" w:color="CCCCCC" w:sz="1"/>
              <w:right w:val="single" w:color="CCCCCC" w:sz="1"/>
            </w:tcBorders>
            <w:shd w:fill="FFFFFF" w:val="clear"/>
            <w:tcMar>
              <w:top w:type="dxa" w:w="120"/>
              <w:left w:type="dxa" w:w="60"/>
              <w:bottom w:type="dxa" w:w="120"/>
              <w:right w:type="dxa" w:w="60"/>
            </w:tcMar>
            <w:vAlign w:val="top"/>
          </w:tcPr>
          <w:p>
            <w:pPr>
              <w:spacing w:before="0" w:after="0" w:line="240" w:lineRule="auto"/>
              <w:jc w:val="center"/>
            </w:pPr>
            <w:r>
              <w:rPr>
                <w:rFonts w:ascii="Arial" w:cs="Arial" w:eastAsia="Arial" w:hAnsi="Arial"/>
                <w:b/>
                <w:bCs/>
                <w:i w:val="false"/>
                <w:iCs w:val="false"/>
                <w:color w:val="2E8B57"/>
                <w:sz w:val="18"/>
                <w:szCs w:val="18"/>
              </w:rPr>
              <w:t xml:space="preserve">04</w:t>
            </w:r>
          </w:p>
        </w:tc>
        <w:tc>
          <w:tcPr>
            <w:tcW w:type="dxa" w:w="3926"/>
            <w:tcBorders>
              <w:top w:val="single" w:color="CCCCCC" w:sz="1"/>
              <w:left w:val="single" w:color="CCCCCC" w:sz="1"/>
              <w:bottom w:val="single" w:color="CCCCCC" w:sz="1"/>
              <w:right w:val="single" w:color="CCCCCC" w:sz="1"/>
            </w:tcBorders>
            <w:shd w:fill="E0E0E0"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1A3D2B"/>
                <w:sz w:val="15"/>
                <w:szCs w:val="15"/>
              </w:rPr>
              <w:t xml:space="preserve">GAS NATURAL Y LNG — RESURGIMIENTO ESTRATÉGICO EN TRANSICIÓN ENERGÉTICA</w:t>
            </w:r>
          </w:p>
        </w:tc>
        <w:tc>
          <w:tcPr>
            <w:tcW w:type="dxa" w:w="8315"/>
            <w:tcBorders>
              <w:top w:val="single" w:color="CCCCCC" w:sz="1"/>
              <w:left w:val="single" w:color="CCCCCC" w:sz="1"/>
              <w:bottom w:val="single" w:color="CCCCCC" w:sz="1"/>
              <w:right w:val="single" w:color="CCCCCC" w:sz="1"/>
            </w:tcBorders>
            <w:shd w:fill="FFFFFF" w:val="clear"/>
            <w:tcMar>
              <w:top w:type="dxa" w:w="120"/>
              <w:left w:type="dxa" w:w="140"/>
              <w:bottom w:type="dxa" w:w="120"/>
              <w:right w:type="dxa" w:w="140"/>
            </w:tcMar>
            <w:vAlign w:val="top"/>
          </w:tcPr>
          <w:p>
            <w:pPr>
              <w:spacing w:before="0" w:after="0" w:line="240" w:lineRule="auto"/>
              <w:jc w:val="left"/>
            </w:pPr>
            <w:r>
              <w:rPr>
                <w:rFonts w:ascii="Arial" w:cs="Arial" w:eastAsia="Arial" w:hAnsi="Arial"/>
                <w:b w:val="false"/>
                <w:bCs w:val="false"/>
                <w:i w:val="false"/>
                <w:iCs w:val="false"/>
                <w:color w:val="3A3A3A"/>
                <w:sz w:val="16"/>
                <w:szCs w:val="16"/>
              </w:rPr>
              <w:t xml:space="preserve">La inversión en upstream petróleo cae un ~4% en 2025 (IEA), pero el gas natural consolida su posición como activo estratégico de transición: inversión en campos de gas estable; boom histórico de capacidad LNG proyectada para 2026-2028 con nuevos proyectos en Qatar, EE.UU. y Canadá (IEA). El M&amp;A en oil &amp; gas en 2025 gira hacia 'gas-forward optionality': activos de gas de bajo coste para LNG, integración midstream y conectividad hacia corredores industriales y de data centers (KPMG). Sempra toma la decisión final de inversión (FID) para Port Arthur LNG Phase 2 ($14 bn), con financiación equity de $7 bn de Blackstone, KKR, Apollo y Goldman Sachs Alternatives. Baker Hughes adquiere Chart Industries, fabricante de equipos criogénicos para el 90% de los proyectos LNG globales, por $13,6 bn. La inversión en refinería cae a mínimos de 10 años. Señal estratégica: el gas no es combustible de transición sino activo de infraestructura permanente ligado a la electrificación y la IA.</w:t>
            </w:r>
          </w:p>
        </w:tc>
        <w:tc>
          <w:tcPr>
            <w:tcW w:type="dxa" w:w="2541"/>
            <w:tcBorders>
              <w:top w:val="single" w:color="CCCCCC" w:sz="1"/>
              <w:left w:val="single" w:color="CCCCCC" w:sz="1"/>
              <w:bottom w:val="single" w:color="CCCCCC" w:sz="1"/>
              <w:right w:val="single" w:color="CCCCCC" w:sz="1"/>
            </w:tcBorders>
            <w:shd w:fill="FFFFFF"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2E6B45"/>
                <w:sz w:val="13"/>
                <w:szCs w:val="13"/>
              </w:rPr>
              <w:t xml:space="preserve">GAS  ·  LNG  ·  INFRAESTRUCTURA</w:t>
            </w:r>
          </w:p>
        </w:tc>
      </w:tr>
      <w:tr>
        <w:tc>
          <w:tcPr>
            <w:tcW w:type="dxa" w:w="616"/>
            <w:tcBorders>
              <w:top w:val="single" w:color="CCCCCC" w:sz="1"/>
              <w:left w:val="single" w:color="CCCCCC" w:sz="1"/>
              <w:bottom w:val="single" w:color="CCCCCC" w:sz="1"/>
              <w:right w:val="single" w:color="CCCCCC" w:sz="1"/>
            </w:tcBorders>
            <w:shd w:fill="EAF5EE" w:val="clear"/>
            <w:tcMar>
              <w:top w:type="dxa" w:w="120"/>
              <w:left w:type="dxa" w:w="60"/>
              <w:bottom w:type="dxa" w:w="120"/>
              <w:right w:type="dxa" w:w="60"/>
            </w:tcMar>
            <w:vAlign w:val="top"/>
          </w:tcPr>
          <w:p>
            <w:pPr>
              <w:spacing w:before="0" w:after="0" w:line="240" w:lineRule="auto"/>
              <w:jc w:val="center"/>
            </w:pPr>
            <w:r>
              <w:rPr>
                <w:rFonts w:ascii="Arial" w:cs="Arial" w:eastAsia="Arial" w:hAnsi="Arial"/>
                <w:b/>
                <w:bCs/>
                <w:i w:val="false"/>
                <w:iCs w:val="false"/>
                <w:color w:val="2E8B57"/>
                <w:sz w:val="18"/>
                <w:szCs w:val="18"/>
              </w:rPr>
              <w:t xml:space="preserve">05</w:t>
            </w:r>
          </w:p>
        </w:tc>
        <w:tc>
          <w:tcPr>
            <w:tcW w:type="dxa" w:w="3926"/>
            <w:tcBorders>
              <w:top w:val="single" w:color="CCCCCC" w:sz="1"/>
              <w:left w:val="single" w:color="CCCCCC" w:sz="1"/>
              <w:bottom w:val="single" w:color="CCCCCC" w:sz="1"/>
              <w:right w:val="single" w:color="CCCCCC" w:sz="1"/>
            </w:tcBorders>
            <w:shd w:fill="D6EAE0"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1A3D2B"/>
                <w:sz w:val="15"/>
                <w:szCs w:val="15"/>
              </w:rPr>
              <w:t xml:space="preserve">DIVERGENCIA REGULATORIA EE.UU. VS. EUROPA — RECONFIGURACIÓN DE FLUJOS DE CAPITAL</w:t>
            </w:r>
          </w:p>
        </w:tc>
        <w:tc>
          <w:tcPr>
            <w:tcW w:type="dxa" w:w="8315"/>
            <w:tcBorders>
              <w:top w:val="single" w:color="CCCCCC" w:sz="1"/>
              <w:left w:val="single" w:color="CCCCCC" w:sz="1"/>
              <w:bottom w:val="single" w:color="CCCCCC" w:sz="1"/>
              <w:right w:val="single" w:color="CCCCCC" w:sz="1"/>
            </w:tcBorders>
            <w:shd w:fill="EAF5EE" w:val="clear"/>
            <w:tcMar>
              <w:top w:type="dxa" w:w="120"/>
              <w:left w:type="dxa" w:w="140"/>
              <w:bottom w:type="dxa" w:w="120"/>
              <w:right w:type="dxa" w:w="140"/>
            </w:tcMar>
            <w:vAlign w:val="top"/>
          </w:tcPr>
          <w:p>
            <w:pPr>
              <w:spacing w:before="0" w:after="0" w:line="240" w:lineRule="auto"/>
              <w:jc w:val="left"/>
            </w:pPr>
            <w:r>
              <w:rPr>
                <w:rFonts w:ascii="Arial" w:cs="Arial" w:eastAsia="Arial" w:hAnsi="Arial"/>
                <w:b w:val="false"/>
                <w:bCs w:val="false"/>
                <w:i w:val="false"/>
                <w:iCs w:val="false"/>
                <w:color w:val="3A3A3A"/>
                <w:sz w:val="16"/>
                <w:szCs w:val="16"/>
              </w:rPr>
              <w:t xml:space="preserve">La política energética estadounidense marca un punto de inflexión en 2025: la 'One Big Beautiful Bill Act' (firmada el 4 de julio 2025) recorta anticipadamente los créditos fiscales IRA para solar y eólica hasta el 31 de diciembre de 2025 e impone requisitos de contenido doméstico más estrictos. La inversión renovable en EE.UU. en H1 2025 cayó un 36% respecto a H2 2024; la eólica onshore colapsó un 80% (BloombergNEF). En sentido opuesto, la UE aceleró: inversión en transición energética creció un +18% hasta $455 bn (BNEF), con offshore wind del Mar del Norte como catalizador (+63% H1 2025). China reporta su primera caída en financiación renovable desde 2013 (-10% YoY) por reformas regulatorias del mercado eléctrico (jun-25). El resultado: reconfiguración de flujos de capital global, con Europa ganando atractivo relativo. La deuda de transición energética global asciende a $1,2 billones en 2025 (+17%), con corporates y project finance (+20% c/u) compensando la caída de deuda gubernamental etiquetada.</w:t>
            </w:r>
          </w:p>
        </w:tc>
        <w:tc>
          <w:tcPr>
            <w:tcW w:type="dxa" w:w="2541"/>
            <w:tcBorders>
              <w:top w:val="single" w:color="CCCCCC" w:sz="1"/>
              <w:left w:val="single" w:color="CCCCCC" w:sz="1"/>
              <w:bottom w:val="single" w:color="CCCCCC" w:sz="1"/>
              <w:right w:val="single" w:color="CCCCCC" w:sz="1"/>
            </w:tcBorders>
            <w:shd w:fill="EAF5EE" w:val="clear"/>
            <w:tcMar>
              <w:top w:type="dxa" w:w="120"/>
              <w:left w:type="dxa" w:w="140"/>
              <w:bottom w:type="dxa" w:w="120"/>
              <w:right w:type="dxa" w:w="140"/>
            </w:tcMar>
            <w:vAlign w:val="top"/>
          </w:tcPr>
          <w:p>
            <w:pPr>
              <w:spacing w:before="0" w:after="0" w:line="240" w:lineRule="auto"/>
              <w:jc w:val="left"/>
            </w:pPr>
            <w:r>
              <w:rPr>
                <w:rFonts w:ascii="Arial" w:cs="Arial" w:eastAsia="Arial" w:hAnsi="Arial"/>
                <w:b/>
                <w:bCs/>
                <w:i w:val="false"/>
                <w:iCs w:val="false"/>
                <w:color w:val="2E6B45"/>
                <w:sz w:val="13"/>
                <w:szCs w:val="13"/>
              </w:rPr>
              <w:t xml:space="preserve">REGULATORIO  ·  FLUJOS GLOBALES</w:t>
            </w:r>
          </w:p>
        </w:tc>
      </w:tr>
    </w:tbl>
    <w:p>
      <w:pPr>
        <w:spacing w:before="0" w:after="0" w:line="240" w:lineRule="auto"/>
        <w:jc w:val="left"/>
      </w:pPr>
      <w:r>
        <w:rPr>
          <w:rFonts w:ascii="Arial" w:cs="Arial" w:eastAsia="Arial" w:hAnsi="Arial"/>
          <w:b w:val="false"/>
          <w:bCs w:val="false"/>
          <w:i w:val="false"/>
          <w:iCs w:val="false"/>
          <w:color w:val="3A3A3A"/>
          <w:sz w:val="14"/>
          <w:szCs w:val="14"/>
        </w:rPr>
        <w:t xml:space="preserve"> </w:t>
      </w:r>
    </w:p>
    <w:tbl>
      <w:tblPr>
        <w:tblW w:type="dxa" w:w="15398"/>
        <w:tblBorders>
          <w:top w:val="none" w:color="FFFFFF" w:sz="0"/>
          <w:left w:val="none" w:color="FFFFFF" w:sz="0"/>
          <w:bottom w:val="none" w:color="FFFFFF" w:sz="0"/>
          <w:right w:val="none" w:color="FFFFFF" w:sz="0"/>
          <w:insideH w:val="single" w:color="auto" w:sz="4"/>
          <w:insideV w:val="single" w:color="auto" w:sz="4"/>
        </w:tblBorders>
      </w:tblPr>
      <w:tblGrid>
        <w:gridCol w:w="847"/>
        <w:gridCol w:w="14551"/>
      </w:tblGrid>
      <w:tr>
        <w:tc>
          <w:tcPr>
            <w:tcW w:type="dxa" w:w="847"/>
            <w:tcBorders>
              <w:top w:val="none" w:color="FFFFFF" w:sz="0"/>
              <w:left w:val="none" w:color="FFFFFF" w:sz="0"/>
              <w:bottom w:val="none" w:color="FFFFFF" w:sz="0"/>
              <w:right w:val="none" w:color="FFFFFF" w:sz="0"/>
            </w:tcBorders>
            <w:shd w:fill="2E8B57" w:val="clear"/>
            <w:tcMar>
              <w:top w:type="dxa" w:w="90"/>
              <w:left w:type="dxa" w:w="80"/>
              <w:bottom w:type="dxa" w:w="90"/>
              <w:right w:type="dxa" w:w="80"/>
            </w:tcMar>
            <w:vAlign w:val="top"/>
          </w:tcPr>
          <w:p>
            <w:pPr>
              <w:spacing w:before="0" w:after="0" w:line="240" w:lineRule="auto"/>
              <w:jc w:val="center"/>
            </w:pPr>
            <w:r>
              <w:rPr>
                <w:rFonts w:ascii="Arial" w:cs="Arial" w:eastAsia="Arial" w:hAnsi="Arial"/>
                <w:b/>
                <w:bCs/>
                <w:i w:val="false"/>
                <w:iCs w:val="false"/>
                <w:color w:val="FFFFFF"/>
                <w:sz w:val="18"/>
                <w:szCs w:val="18"/>
              </w:rPr>
              <w:t xml:space="preserve">02</w:t>
            </w:r>
          </w:p>
        </w:tc>
        <w:tc>
          <w:tcPr>
            <w:tcW w:type="dxa" w:w="14551"/>
            <w:tcBorders>
              <w:top w:val="none" w:color="FFFFFF" w:sz="0"/>
              <w:left w:val="none" w:color="FFFFFF" w:sz="0"/>
              <w:bottom w:val="none" w:color="FFFFFF" w:sz="0"/>
              <w:right w:val="none" w:color="FFFFFF" w:sz="0"/>
            </w:tcBorders>
            <w:shd w:fill="2E6B45" w:val="clear"/>
            <w:tcMar>
              <w:top w:type="dxa" w:w="90"/>
              <w:left w:type="dxa" w:w="200"/>
              <w:bottom w:type="dxa" w:w="90"/>
              <w:right w:type="dxa" w:w="140"/>
            </w:tcMar>
            <w:vAlign w:val="top"/>
          </w:tcPr>
          <w:p>
            <w:pPr>
              <w:spacing w:before="0" w:after="0" w:line="240" w:lineRule="auto"/>
              <w:jc w:val="left"/>
            </w:pPr>
            <w:r>
              <w:rPr>
                <w:rFonts w:ascii="Arial" w:cs="Arial" w:eastAsia="Arial" w:hAnsi="Arial"/>
                <w:b/>
                <w:bCs/>
                <w:i w:val="false"/>
                <w:iCs w:val="false"/>
                <w:color w:val="FFFFFF"/>
                <w:sz w:val="17"/>
                <w:szCs w:val="17"/>
              </w:rPr>
              <w:t xml:space="preserve">GRANDES OPERACIONES — INDUSTRIA ENERGÍA  ·  &gt;€100M  ·  2S 2025</w:t>
            </w:r>
          </w:p>
        </w:tc>
      </w:tr>
    </w:tbl>
    <w:p>
      <w:pPr>
        <w:spacing w:before="0" w:after="0" w:line="240" w:lineRule="auto"/>
        <w:jc w:val="left"/>
      </w:pPr>
      <w:r>
        <w:rPr>
          <w:rFonts w:ascii="Arial" w:cs="Arial" w:eastAsia="Arial" w:hAnsi="Arial"/>
          <w:b w:val="false"/>
          <w:bCs w:val="false"/>
          <w:i w:val="false"/>
          <w:iCs w:val="false"/>
          <w:color w:val="3A3A3A"/>
          <w:sz w:val="8"/>
          <w:szCs w:val="8"/>
        </w:rPr>
        <w:t xml:space="preserve"> </w:t>
      </w:r>
    </w:p>
    <w:tbl>
      <w:tblPr>
        <w:tblW w:type="dxa" w:w="15399"/>
        <w:tblBorders>
          <w:top w:val="single" w:color="auto" w:sz="4"/>
          <w:left w:val="single" w:color="auto" w:sz="4"/>
          <w:bottom w:val="single" w:color="auto" w:sz="4"/>
          <w:right w:val="single" w:color="auto" w:sz="4"/>
          <w:insideH w:val="single" w:color="auto" w:sz="4"/>
          <w:insideV w:val="single" w:color="auto" w:sz="4"/>
        </w:tblBorders>
      </w:tblPr>
      <w:tblGrid>
        <w:gridCol w:w="2926"/>
        <w:gridCol w:w="6313"/>
        <w:gridCol w:w="1463"/>
        <w:gridCol w:w="1463"/>
        <w:gridCol w:w="3234"/>
      </w:tblGrid>
      <w:tr>
        <w:tc>
          <w:tcPr>
            <w:tcW w:type="dxa" w:w="2926"/>
            <w:tcBorders>
              <w:top w:val="single" w:color="1A3D2B" w:sz="1"/>
              <w:left w:val="single" w:color="1A3D2B" w:sz="1"/>
              <w:bottom w:val="single" w:color="1A3D2B" w:sz="1"/>
              <w:right w:val="single" w:color="1A3D2B" w:sz="1"/>
            </w:tcBorders>
            <w:shd w:fill="1A3D2B" w:val="clear"/>
            <w:tcMar>
              <w:top w:type="dxa" w:w="80"/>
              <w:left w:type="dxa" w:w="120"/>
              <w:bottom w:type="dxa" w:w="80"/>
              <w:right w:type="dxa" w:w="80"/>
            </w:tcMar>
          </w:tcPr>
          <w:p>
            <w:pPr>
              <w:spacing w:before="0" w:after="0" w:line="240" w:lineRule="auto"/>
              <w:jc w:val="left"/>
            </w:pPr>
            <w:r>
              <w:rPr>
                <w:rFonts w:ascii="Arial" w:cs="Arial" w:eastAsia="Arial" w:hAnsi="Arial"/>
                <w:b/>
                <w:bCs/>
                <w:i w:val="false"/>
                <w:iCs w:val="false"/>
                <w:color w:val="FFFFFF"/>
                <w:sz w:val="14"/>
                <w:szCs w:val="14"/>
              </w:rPr>
              <w:t xml:space="preserve">OPERACIÓN</w:t>
            </w:r>
          </w:p>
        </w:tc>
        <w:tc>
          <w:tcPr>
            <w:tcW w:type="dxa" w:w="6313"/>
            <w:tcBorders>
              <w:top w:val="single" w:color="1A3D2B" w:sz="1"/>
              <w:left w:val="single" w:color="1A3D2B" w:sz="1"/>
              <w:bottom w:val="single" w:color="1A3D2B" w:sz="1"/>
              <w:right w:val="single" w:color="1A3D2B" w:sz="1"/>
            </w:tcBorders>
            <w:shd w:fill="1A3D2B" w:val="clear"/>
            <w:tcMar>
              <w:top w:type="dxa" w:w="80"/>
              <w:left w:type="dxa" w:w="120"/>
              <w:bottom w:type="dxa" w:w="80"/>
              <w:right w:type="dxa" w:w="80"/>
            </w:tcMar>
          </w:tcPr>
          <w:p>
            <w:pPr>
              <w:spacing w:before="0" w:after="0" w:line="240" w:lineRule="auto"/>
              <w:jc w:val="left"/>
            </w:pPr>
            <w:r>
              <w:rPr>
                <w:rFonts w:ascii="Arial" w:cs="Arial" w:eastAsia="Arial" w:hAnsi="Arial"/>
                <w:b/>
                <w:bCs/>
                <w:i w:val="false"/>
                <w:iCs w:val="false"/>
                <w:color w:val="FFFFFF"/>
                <w:sz w:val="14"/>
                <w:szCs w:val="14"/>
              </w:rPr>
              <w:t xml:space="preserve">DESCRIPCIÓN</w:t>
            </w:r>
          </w:p>
        </w:tc>
        <w:tc>
          <w:tcPr>
            <w:tcW w:type="dxa" w:w="1463"/>
            <w:tcBorders>
              <w:top w:val="single" w:color="1A3D2B" w:sz="1"/>
              <w:left w:val="single" w:color="1A3D2B" w:sz="1"/>
              <w:bottom w:val="single" w:color="1A3D2B" w:sz="1"/>
              <w:right w:val="single" w:color="1A3D2B" w:sz="1"/>
            </w:tcBorders>
            <w:shd w:fill="1A3D2B" w:val="clear"/>
            <w:tcMar>
              <w:top w:type="dxa" w:w="80"/>
              <w:left w:type="dxa" w:w="120"/>
              <w:bottom w:type="dxa" w:w="80"/>
              <w:right w:type="dxa" w:w="80"/>
            </w:tcMar>
          </w:tcPr>
          <w:p>
            <w:pPr>
              <w:spacing w:before="0" w:after="0" w:line="240" w:lineRule="auto"/>
              <w:jc w:val="left"/>
            </w:pPr>
            <w:r>
              <w:rPr>
                <w:rFonts w:ascii="Arial" w:cs="Arial" w:eastAsia="Arial" w:hAnsi="Arial"/>
                <w:b/>
                <w:bCs/>
                <w:i w:val="false"/>
                <w:iCs w:val="false"/>
                <w:color w:val="FFFFFF"/>
                <w:sz w:val="14"/>
                <w:szCs w:val="14"/>
              </w:rPr>
              <w:t xml:space="preserve">VOLUMEN</w:t>
            </w:r>
          </w:p>
        </w:tc>
        <w:tc>
          <w:tcPr>
            <w:tcW w:type="dxa" w:w="1463"/>
            <w:tcBorders>
              <w:top w:val="single" w:color="1A3D2B" w:sz="1"/>
              <w:left w:val="single" w:color="1A3D2B" w:sz="1"/>
              <w:bottom w:val="single" w:color="1A3D2B" w:sz="1"/>
              <w:right w:val="single" w:color="1A3D2B" w:sz="1"/>
            </w:tcBorders>
            <w:shd w:fill="1A3D2B" w:val="clear"/>
            <w:tcMar>
              <w:top w:type="dxa" w:w="80"/>
              <w:left w:type="dxa" w:w="120"/>
              <w:bottom w:type="dxa" w:w="80"/>
              <w:right w:type="dxa" w:w="80"/>
            </w:tcMar>
          </w:tcPr>
          <w:p>
            <w:pPr>
              <w:spacing w:before="0" w:after="0" w:line="240" w:lineRule="auto"/>
              <w:jc w:val="left"/>
            </w:pPr>
            <w:r>
              <w:rPr>
                <w:rFonts w:ascii="Arial" w:cs="Arial" w:eastAsia="Arial" w:hAnsi="Arial"/>
                <w:b/>
                <w:bCs/>
                <w:i w:val="false"/>
                <w:iCs w:val="false"/>
                <w:color w:val="FFFFFF"/>
                <w:sz w:val="14"/>
                <w:szCs w:val="14"/>
              </w:rPr>
              <w:t xml:space="preserve">FECHA</w:t>
            </w:r>
          </w:p>
        </w:tc>
        <w:tc>
          <w:tcPr>
            <w:tcW w:type="dxa" w:w="3234"/>
            <w:tcBorders>
              <w:top w:val="single" w:color="1A3D2B" w:sz="1"/>
              <w:left w:val="single" w:color="1A3D2B" w:sz="1"/>
              <w:bottom w:val="single" w:color="1A3D2B" w:sz="1"/>
              <w:right w:val="single" w:color="1A3D2B" w:sz="1"/>
            </w:tcBorders>
            <w:shd w:fill="1A3D2B" w:val="clear"/>
            <w:tcMar>
              <w:top w:type="dxa" w:w="80"/>
              <w:left w:type="dxa" w:w="120"/>
              <w:bottom w:type="dxa" w:w="80"/>
              <w:right w:type="dxa" w:w="80"/>
            </w:tcMar>
          </w:tcPr>
          <w:p>
            <w:pPr>
              <w:spacing w:before="0" w:after="0" w:line="240" w:lineRule="auto"/>
              <w:jc w:val="left"/>
            </w:pPr>
            <w:r>
              <w:rPr>
                <w:rFonts w:ascii="Arial" w:cs="Arial" w:eastAsia="Arial" w:hAnsi="Arial"/>
                <w:b/>
                <w:bCs/>
                <w:i w:val="false"/>
                <w:iCs w:val="false"/>
                <w:color w:val="FFFFFF"/>
                <w:sz w:val="14"/>
                <w:szCs w:val="14"/>
              </w:rPr>
              <w:t xml:space="preserve">FUENTE</w:t>
            </w:r>
          </w:p>
        </w:tc>
      </w:tr>
      <w:tr>
        <w:tc>
          <w:tcPr>
            <w:tcW w:type="dxa" w:w="2926"/>
            <w:tcBorders>
              <w:top w:val="single" w:color="CCCCCC" w:sz="1"/>
              <w:left w:val="single" w:color="CCCCCC" w:sz="1"/>
              <w:bottom w:val="single" w:color="CCCCCC" w:sz="1"/>
              <w:right w:val="single" w:color="CCCCCC" w:sz="1"/>
            </w:tcBorders>
            <w:shd w:fill="D6EAE0" w:val="clear"/>
            <w:tcMar>
              <w:top w:type="dxa" w:w="90"/>
              <w:left w:type="dxa" w:w="120"/>
              <w:bottom w:type="dxa" w:w="90"/>
              <w:right w:type="dxa" w:w="80"/>
            </w:tcMar>
            <w:vAlign w:val="top"/>
          </w:tcPr>
          <w:p>
            <w:pPr>
              <w:spacing w:before="0" w:after="0" w:line="240" w:lineRule="auto"/>
              <w:jc w:val="left"/>
            </w:pPr>
            <w:r>
              <w:rPr>
                <w:rFonts w:ascii="Arial" w:cs="Arial" w:eastAsia="Arial" w:hAnsi="Arial"/>
                <w:b/>
                <w:bCs/>
                <w:i w:val="false"/>
                <w:iCs w:val="false"/>
                <w:color w:val="1A3D2B"/>
                <w:sz w:val="15"/>
                <w:szCs w:val="15"/>
              </w:rPr>
              <w:t xml:space="preserve">Constellation Energy — Adquisición de Calpine Corp.</w:t>
            </w:r>
          </w:p>
          <w:p>
            <w:pPr>
              <w:spacing w:before="40" w:after="0" w:line="240" w:lineRule="auto"/>
              <w:jc w:val="left"/>
            </w:pPr>
            <w:r>
              <w:rPr>
                <w:rFonts w:ascii="Arial" w:cs="Arial" w:eastAsia="Arial" w:hAnsi="Arial"/>
                <w:b w:val="false"/>
                <w:bCs w:val="false"/>
                <w:i w:val="false"/>
                <w:iCs w:val="false"/>
                <w:color w:val="1A3D2B"/>
                <w:sz w:val="15"/>
                <w:szCs w:val="15"/>
              </w:rPr>
              <w:t xml:space="preserve">(Mayor fusión en generación eléctrica EE.UU. en décadas)</w:t>
            </w:r>
          </w:p>
        </w:tc>
        <w:tc>
          <w:tcPr>
            <w:tcW w:type="dxa" w:w="631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Constellation (mayor productor nuclear de EE.UU.) adquiere Calpine (mayor productor de gas natural y geotérmica del país) creando el mayor generador de electricidad privado del mundo con 55 GW y 2,5 millones de clientes retail. La combinación —nuclear + gas + geotérmica— responde directamente a la demanda de energía 24/7 de los centros de datos de IA. La operación se cerró el 20 de febrero de 2026. Asesores: Lazard y J.P. Morgan (Constellation); Evercore, Morgan Stanley, Goldman Sachs, Barclays (Calpine).</w:t>
            </w:r>
          </w:p>
        </w:tc>
        <w:tc>
          <w:tcPr>
            <w:tcW w:type="dxa" w:w="146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$26,6 bn</w:t>
            </w:r>
          </w:p>
          <w:p>
            <w:pPr>
              <w:spacing w:before="40" w:after="0" w:line="240" w:lineRule="auto"/>
              <w:jc w:val="left"/>
            </w:pPr>
            <w:r>
              <w:rPr>
                <w:rFonts w:ascii="Arial" w:cs="Arial" w:eastAsia="Arial" w:hAnsi="Arial"/>
                <w:b w:val="false"/>
                <w:bCs w:val="false"/>
                <w:i w:val="false"/>
                <w:iCs w:val="false"/>
                <w:color w:val="3A3A3A"/>
                <w:sz w:val="15"/>
                <w:szCs w:val="15"/>
              </w:rPr>
              <w:t xml:space="preserve">(valor empresa)</w:t>
            </w:r>
          </w:p>
        </w:tc>
        <w:tc>
          <w:tcPr>
            <w:tcW w:type="dxa" w:w="146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Anuncio</w:t>
            </w:r>
          </w:p>
          <w:p>
            <w:pPr>
              <w:spacing w:before="40" w:after="0" w:line="240" w:lineRule="auto"/>
              <w:jc w:val="left"/>
            </w:pPr>
            <w:r>
              <w:rPr>
                <w:rFonts w:ascii="Arial" w:cs="Arial" w:eastAsia="Arial" w:hAnsi="Arial"/>
                <w:b w:val="false"/>
                <w:bCs w:val="false"/>
                <w:i w:val="false"/>
                <w:iCs w:val="false"/>
                <w:color w:val="3A3A3A"/>
                <w:sz w:val="15"/>
                <w:szCs w:val="15"/>
              </w:rPr>
              <w:t xml:space="preserve">10 ene 2025</w:t>
            </w:r>
          </w:p>
          <w:p>
            <w:pPr>
              <w:spacing w:before="40" w:after="0" w:line="240" w:lineRule="auto"/>
              <w:jc w:val="left"/>
            </w:pPr>
            <w:r>
              <w:rPr>
                <w:rFonts w:ascii="Arial" w:cs="Arial" w:eastAsia="Arial" w:hAnsi="Arial"/>
                <w:b w:val="false"/>
                <w:bCs w:val="false"/>
                <w:i w:val="false"/>
                <w:iCs w:val="false"/>
                <w:color w:val="3A3A3A"/>
                <w:sz w:val="15"/>
                <w:szCs w:val="15"/>
              </w:rPr>
              <w:t xml:space="preserve">Cierre</w:t>
            </w:r>
          </w:p>
          <w:p>
            <w:pPr>
              <w:spacing w:before="40" w:after="0" w:line="240" w:lineRule="auto"/>
              <w:jc w:val="left"/>
            </w:pPr>
            <w:r>
              <w:rPr>
                <w:rFonts w:ascii="Arial" w:cs="Arial" w:eastAsia="Arial" w:hAnsi="Arial"/>
                <w:b w:val="false"/>
                <w:bCs w:val="false"/>
                <w:i w:val="false"/>
                <w:iCs w:val="false"/>
                <w:color w:val="3A3A3A"/>
                <w:sz w:val="15"/>
                <w:szCs w:val="15"/>
              </w:rPr>
              <w:t xml:space="preserve">20 feb 2026</w:t>
            </w:r>
          </w:p>
        </w:tc>
        <w:tc>
          <w:tcPr>
            <w:tcW w:type="dxa" w:w="3234"/>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BusinessWire / Constellation Energy (10.01.2025)</w:t>
            </w:r>
          </w:p>
          <w:p>
            <w:pPr>
              <w:spacing w:before="40" w:after="0" w:line="240" w:lineRule="auto"/>
              <w:jc w:val="left"/>
            </w:pPr>
            <w:r>
              <w:rPr>
                <w:rFonts w:ascii="Arial" w:cs="Arial" w:eastAsia="Arial" w:hAnsi="Arial"/>
                <w:b w:val="false"/>
                <w:bCs w:val="false"/>
                <w:i w:val="false"/>
                <w:iCs w:val="false"/>
                <w:color w:val="3A3A3A"/>
                <w:sz w:val="15"/>
                <w:szCs w:val="15"/>
              </w:rPr>
              <w:t xml:space="preserve">S&amp;P Global Commodity Insights</w:t>
            </w:r>
          </w:p>
        </w:tc>
      </w:tr>
      <w:tr>
        <w:tc>
          <w:tcPr>
            <w:tcW w:type="dxa" w:w="2926"/>
            <w:tcBorders>
              <w:top w:val="single" w:color="CCCCCC" w:sz="1"/>
              <w:left w:val="single" w:color="CCCCCC" w:sz="1"/>
              <w:bottom w:val="single" w:color="CCCCCC" w:sz="1"/>
              <w:right w:val="single" w:color="CCCCCC" w:sz="1"/>
            </w:tcBorders>
            <w:shd w:fill="E0E0E0" w:val="clear"/>
            <w:tcMar>
              <w:top w:type="dxa" w:w="90"/>
              <w:left w:type="dxa" w:w="120"/>
              <w:bottom w:type="dxa" w:w="90"/>
              <w:right w:type="dxa" w:w="80"/>
            </w:tcMar>
            <w:vAlign w:val="top"/>
          </w:tcPr>
          <w:p>
            <w:pPr>
              <w:spacing w:before="0" w:after="0" w:line="240" w:lineRule="auto"/>
              <w:jc w:val="left"/>
            </w:pPr>
            <w:r>
              <w:rPr>
                <w:rFonts w:ascii="Arial" w:cs="Arial" w:eastAsia="Arial" w:hAnsi="Arial"/>
                <w:b/>
                <w:bCs/>
                <w:i w:val="false"/>
                <w:iCs w:val="false"/>
                <w:color w:val="1A3D2B"/>
                <w:sz w:val="15"/>
                <w:szCs w:val="15"/>
              </w:rPr>
              <w:t xml:space="preserve">Baker Hughes — Adquisición de Chart Industries</w:t>
            </w:r>
          </w:p>
          <w:p>
            <w:pPr>
              <w:spacing w:before="40" w:after="0" w:line="240" w:lineRule="auto"/>
              <w:jc w:val="left"/>
            </w:pPr>
            <w:r>
              <w:rPr>
                <w:rFonts w:ascii="Arial" w:cs="Arial" w:eastAsia="Arial" w:hAnsi="Arial"/>
                <w:b w:val="false"/>
                <w:bCs w:val="false"/>
                <w:i w:val="false"/>
                <w:iCs w:val="false"/>
                <w:color w:val="1A3D2B"/>
                <w:sz w:val="15"/>
                <w:szCs w:val="15"/>
              </w:rPr>
              <w:t xml:space="preserve">(Plataforma tecnológica LNG y descarbonización)</w:t>
            </w:r>
          </w:p>
        </w:tc>
        <w:tc>
          <w:tcPr>
            <w:tcW w:type="dxa" w:w="63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Baker Hughes adquiere Chart Industries en operación all-cash de $13,6 bn (22% prima sobre cotización), superando la fusión planificada entre Chart y Flowserve. Chart fabrica equipos criogénicos presentes en el 90% de los proyectos LNG mundiales y tecnologías de refrigeración para data centers. La operación posiciona a Baker Hughes como proveedor tecnológico integrado en LNG, hidrógeno, captura de carbono e infraestructura digital. Sinergias esperadas de $325 mn anuales al tercer año. Financiación bridge: Goldman Sachs y Morgan Stanley. Aprobada por accionistas de Chart (oct-25).</w:t>
            </w:r>
          </w:p>
        </w:tc>
        <w:tc>
          <w:tcPr>
            <w:tcW w:type="dxa" w:w="146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$13,6 bn</w:t>
            </w:r>
          </w:p>
          <w:p>
            <w:pPr>
              <w:spacing w:before="40" w:after="0" w:line="240" w:lineRule="auto"/>
              <w:jc w:val="left"/>
            </w:pPr>
            <w:r>
              <w:rPr>
                <w:rFonts w:ascii="Arial" w:cs="Arial" w:eastAsia="Arial" w:hAnsi="Arial"/>
                <w:b w:val="false"/>
                <w:bCs w:val="false"/>
                <w:i w:val="false"/>
                <w:iCs w:val="false"/>
                <w:color w:val="3A3A3A"/>
                <w:sz w:val="15"/>
                <w:szCs w:val="15"/>
              </w:rPr>
              <w:t xml:space="preserve">(todo cash, EV)</w:t>
            </w:r>
          </w:p>
        </w:tc>
        <w:tc>
          <w:tcPr>
            <w:tcW w:type="dxa" w:w="146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Anuncio</w:t>
            </w:r>
          </w:p>
          <w:p>
            <w:pPr>
              <w:spacing w:before="40" w:after="0" w:line="240" w:lineRule="auto"/>
              <w:jc w:val="left"/>
            </w:pPr>
            <w:r>
              <w:rPr>
                <w:rFonts w:ascii="Arial" w:cs="Arial" w:eastAsia="Arial" w:hAnsi="Arial"/>
                <w:b w:val="false"/>
                <w:bCs w:val="false"/>
                <w:i w:val="false"/>
                <w:iCs w:val="false"/>
                <w:color w:val="3A3A3A"/>
                <w:sz w:val="15"/>
                <w:szCs w:val="15"/>
              </w:rPr>
              <w:t xml:space="preserve">29 jul 2025</w:t>
            </w:r>
          </w:p>
        </w:tc>
        <w:tc>
          <w:tcPr>
            <w:tcW w:type="dxa" w:w="3234"/>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Baker Hughes / Globe Newswire (29.07.2025)</w:t>
            </w:r>
          </w:p>
          <w:p>
            <w:pPr>
              <w:spacing w:before="40" w:after="0" w:line="240" w:lineRule="auto"/>
              <w:jc w:val="left"/>
            </w:pPr>
            <w:r>
              <w:rPr>
                <w:rFonts w:ascii="Arial" w:cs="Arial" w:eastAsia="Arial" w:hAnsi="Arial"/>
                <w:b w:val="false"/>
                <w:bCs w:val="false"/>
                <w:i w:val="false"/>
                <w:iCs w:val="false"/>
                <w:color w:val="3A3A3A"/>
                <w:sz w:val="15"/>
                <w:szCs w:val="15"/>
              </w:rPr>
              <w:t xml:space="preserve">Fortune / World Oil (jul-oct 2025)</w:t>
            </w:r>
          </w:p>
        </w:tc>
      </w:tr>
      <w:tr>
        <w:tc>
          <w:tcPr>
            <w:tcW w:type="dxa" w:w="2926"/>
            <w:tcBorders>
              <w:top w:val="single" w:color="CCCCCC" w:sz="1"/>
              <w:left w:val="single" w:color="CCCCCC" w:sz="1"/>
              <w:bottom w:val="single" w:color="CCCCCC" w:sz="1"/>
              <w:right w:val="single" w:color="CCCCCC" w:sz="1"/>
            </w:tcBorders>
            <w:shd w:fill="D6EAE0" w:val="clear"/>
            <w:tcMar>
              <w:top w:type="dxa" w:w="90"/>
              <w:left w:type="dxa" w:w="120"/>
              <w:bottom w:type="dxa" w:w="90"/>
              <w:right w:type="dxa" w:w="80"/>
            </w:tcMar>
            <w:vAlign w:val="top"/>
          </w:tcPr>
          <w:p>
            <w:pPr>
              <w:spacing w:before="0" w:after="0" w:line="240" w:lineRule="auto"/>
              <w:jc w:val="left"/>
            </w:pPr>
            <w:r>
              <w:rPr>
                <w:rFonts w:ascii="Arial" w:cs="Arial" w:eastAsia="Arial" w:hAnsi="Arial"/>
                <w:b/>
                <w:bCs/>
                <w:i w:val="false"/>
                <w:iCs w:val="false"/>
                <w:color w:val="1A3D2B"/>
                <w:sz w:val="15"/>
                <w:szCs w:val="15"/>
              </w:rPr>
              <w:t xml:space="preserve">Sempra Infrastructure Partners — Venta de participación</w:t>
            </w:r>
          </w:p>
          <w:p>
            <w:pPr>
              <w:spacing w:before="40" w:after="0" w:line="240" w:lineRule="auto"/>
              <w:jc w:val="left"/>
            </w:pPr>
            <w:r>
              <w:rPr>
                <w:rFonts w:ascii="Arial" w:cs="Arial" w:eastAsia="Arial" w:hAnsi="Arial"/>
                <w:b w:val="false"/>
                <w:bCs w:val="false"/>
                <w:i w:val="false"/>
                <w:iCs w:val="false"/>
                <w:color w:val="1A3D2B"/>
                <w:sz w:val="15"/>
                <w:szCs w:val="15"/>
              </w:rPr>
              <w:t xml:space="preserve">(KKR + CPP Investments + FID Port Arthur LNG Phase 2)</w:t>
            </w:r>
          </w:p>
        </w:tc>
        <w:tc>
          <w:tcPr>
            <w:tcW w:type="dxa" w:w="631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Sempra vende el 45% de su plataforma de infraestructuras energéticas (valorada en $31,7 bn de EV) a KKR y Canada Pension Plan Investment Board por $10 bn, transfiriendo la mayoría al consorcio (65%). Simultáneamente, Sempra toma la decisión final de inversión (FID) para Port Arthur LNG Phase 2 ($14 bn de capex), financiado con $7 bn de equity minoritario liderado por Blackstone, KKR, Apollo y Goldman Sachs Alternatives. Operación estructurante: recicla capital hacia utilidades reguladas (objetivo 95% de earnings) y es una de las mayores transacciones de private equity en infraestructura energética de Norteamérica.</w:t>
            </w:r>
          </w:p>
        </w:tc>
        <w:tc>
          <w:tcPr>
            <w:tcW w:type="dxa" w:w="146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$10 bn</w:t>
            </w:r>
          </w:p>
          <w:p>
            <w:pPr>
              <w:spacing w:before="40" w:after="0" w:line="240" w:lineRule="auto"/>
              <w:jc w:val="left"/>
            </w:pPr>
            <w:r>
              <w:rPr>
                <w:rFonts w:ascii="Arial" w:cs="Arial" w:eastAsia="Arial" w:hAnsi="Arial"/>
                <w:b w:val="false"/>
                <w:bCs w:val="false"/>
                <w:i w:val="false"/>
                <w:iCs w:val="false"/>
                <w:color w:val="3A3A3A"/>
                <w:sz w:val="15"/>
                <w:szCs w:val="15"/>
              </w:rPr>
              <w:t xml:space="preserve">(stake)</w:t>
            </w:r>
          </w:p>
          <w:p>
            <w:pPr>
              <w:spacing w:before="40" w:after="0" w:line="240" w:lineRule="auto"/>
              <w:jc w:val="left"/>
            </w:pPr>
            <w:r>
              <w:rPr>
                <w:rFonts w:ascii="Arial" w:cs="Arial" w:eastAsia="Arial" w:hAnsi="Arial"/>
                <w:b w:val="false"/>
                <w:bCs w:val="false"/>
                <w:i w:val="false"/>
                <w:iCs w:val="false"/>
                <w:color w:val="3A3A3A"/>
                <w:sz w:val="15"/>
                <w:szCs w:val="15"/>
              </w:rPr>
              <w:t xml:space="preserve">+ $7 bn</w:t>
            </w:r>
          </w:p>
          <w:p>
            <w:pPr>
              <w:spacing w:before="40" w:after="0" w:line="240" w:lineRule="auto"/>
              <w:jc w:val="left"/>
            </w:pPr>
            <w:r>
              <w:rPr>
                <w:rFonts w:ascii="Arial" w:cs="Arial" w:eastAsia="Arial" w:hAnsi="Arial"/>
                <w:b w:val="false"/>
                <w:bCs w:val="false"/>
                <w:i w:val="false"/>
                <w:iCs w:val="false"/>
                <w:color w:val="3A3A3A"/>
                <w:sz w:val="15"/>
                <w:szCs w:val="15"/>
              </w:rPr>
              <w:t xml:space="preserve">(LNG Phase 2)</w:t>
            </w:r>
          </w:p>
        </w:tc>
        <w:tc>
          <w:tcPr>
            <w:tcW w:type="dxa" w:w="146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Anuncio</w:t>
            </w:r>
          </w:p>
          <w:p>
            <w:pPr>
              <w:spacing w:before="40" w:after="0" w:line="240" w:lineRule="auto"/>
              <w:jc w:val="left"/>
            </w:pPr>
            <w:r>
              <w:rPr>
                <w:rFonts w:ascii="Arial" w:cs="Arial" w:eastAsia="Arial" w:hAnsi="Arial"/>
                <w:b w:val="false"/>
                <w:bCs w:val="false"/>
                <w:i w:val="false"/>
                <w:iCs w:val="false"/>
                <w:color w:val="3A3A3A"/>
                <w:sz w:val="15"/>
                <w:szCs w:val="15"/>
              </w:rPr>
              <w:t xml:space="preserve">23 sep 2025</w:t>
            </w:r>
          </w:p>
        </w:tc>
        <w:tc>
          <w:tcPr>
            <w:tcW w:type="dxa" w:w="3234"/>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Sempra Press Release (23.09.2025)</w:t>
            </w:r>
          </w:p>
          <w:p>
            <w:pPr>
              <w:spacing w:before="40" w:after="0" w:line="240" w:lineRule="auto"/>
              <w:jc w:val="left"/>
            </w:pPr>
            <w:r>
              <w:rPr>
                <w:rFonts w:ascii="Arial" w:cs="Arial" w:eastAsia="Arial" w:hAnsi="Arial"/>
                <w:b w:val="false"/>
                <w:bCs w:val="false"/>
                <w:i w:val="false"/>
                <w:iCs w:val="false"/>
                <w:color w:val="3A3A3A"/>
                <w:sz w:val="15"/>
                <w:szCs w:val="15"/>
              </w:rPr>
              <w:t xml:space="preserve">Bloomberg / Reuters</w:t>
            </w:r>
          </w:p>
        </w:tc>
      </w:tr>
      <w:tr>
        <w:tc>
          <w:tcPr>
            <w:tcW w:type="dxa" w:w="2926"/>
            <w:tcBorders>
              <w:top w:val="single" w:color="CCCCCC" w:sz="1"/>
              <w:left w:val="single" w:color="CCCCCC" w:sz="1"/>
              <w:bottom w:val="single" w:color="CCCCCC" w:sz="1"/>
              <w:right w:val="single" w:color="CCCCCC" w:sz="1"/>
            </w:tcBorders>
            <w:shd w:fill="E0E0E0" w:val="clear"/>
            <w:tcMar>
              <w:top w:type="dxa" w:w="90"/>
              <w:left w:type="dxa" w:w="120"/>
              <w:bottom w:type="dxa" w:w="90"/>
              <w:right w:type="dxa" w:w="80"/>
            </w:tcMar>
            <w:vAlign w:val="top"/>
          </w:tcPr>
          <w:p>
            <w:pPr>
              <w:spacing w:before="0" w:after="0" w:line="240" w:lineRule="auto"/>
              <w:jc w:val="left"/>
            </w:pPr>
            <w:r>
              <w:rPr>
                <w:rFonts w:ascii="Arial" w:cs="Arial" w:eastAsia="Arial" w:hAnsi="Arial"/>
                <w:b/>
                <w:bCs/>
                <w:i w:val="false"/>
                <w:iCs w:val="false"/>
                <w:color w:val="1A3D2B"/>
                <w:sz w:val="15"/>
                <w:szCs w:val="15"/>
              </w:rPr>
              <w:t xml:space="preserve">Alphabet/Google — Adquisición de Intersect Power</w:t>
            </w:r>
          </w:p>
          <w:p>
            <w:pPr>
              <w:spacing w:before="40" w:after="0" w:line="240" w:lineRule="auto"/>
              <w:jc w:val="left"/>
            </w:pPr>
            <w:r>
              <w:rPr>
                <w:rFonts w:ascii="Arial" w:cs="Arial" w:eastAsia="Arial" w:hAnsi="Arial"/>
                <w:b w:val="false"/>
                <w:bCs w:val="false"/>
                <w:i w:val="false"/>
                <w:iCs w:val="false"/>
                <w:color w:val="1A3D2B"/>
                <w:sz w:val="15"/>
                <w:szCs w:val="15"/>
              </w:rPr>
              <w:t xml:space="preserve">(Primera integración vertical tech-energía limpia de gran escala)</w:t>
            </w:r>
          </w:p>
        </w:tc>
        <w:tc>
          <w:tcPr>
            <w:tcW w:type="dxa" w:w="63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Alphabet adquiere Intersect Power, desarrolladora de infraestructura energética y de data centers que co-ubica demanda industrial con generación gas y renovable. La operación —$4,75 bn cash más deuda asumida— incluye múltiples gigavatios de proyectos en desarrollo o construcción vinculados a la asociación existente con Google. Primer caso de una gran tecnológica adquiriendo un desarrollador de energía limpia, abriendo un nuevo paradigma de integración vertical energía-cloud para los bancos de inversión y el mercado de project finance.</w:t>
            </w:r>
          </w:p>
        </w:tc>
        <w:tc>
          <w:tcPr>
            <w:tcW w:type="dxa" w:w="146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$4,75 bn</w:t>
            </w:r>
          </w:p>
          <w:p>
            <w:pPr>
              <w:spacing w:before="40" w:after="0" w:line="240" w:lineRule="auto"/>
              <w:jc w:val="left"/>
            </w:pPr>
            <w:r>
              <w:rPr>
                <w:rFonts w:ascii="Arial" w:cs="Arial" w:eastAsia="Arial" w:hAnsi="Arial"/>
                <w:b w:val="false"/>
                <w:bCs w:val="false"/>
                <w:i w:val="false"/>
                <w:iCs w:val="false"/>
                <w:color w:val="3A3A3A"/>
                <w:sz w:val="15"/>
                <w:szCs w:val="15"/>
              </w:rPr>
              <w:t xml:space="preserve">cash + deuda</w:t>
            </w:r>
          </w:p>
        </w:tc>
        <w:tc>
          <w:tcPr>
            <w:tcW w:type="dxa" w:w="146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Anuncio</w:t>
            </w:r>
          </w:p>
          <w:p>
            <w:pPr>
              <w:spacing w:before="40" w:after="0" w:line="240" w:lineRule="auto"/>
              <w:jc w:val="left"/>
            </w:pPr>
            <w:r>
              <w:rPr>
                <w:rFonts w:ascii="Arial" w:cs="Arial" w:eastAsia="Arial" w:hAnsi="Arial"/>
                <w:b w:val="false"/>
                <w:bCs w:val="false"/>
                <w:i w:val="false"/>
                <w:iCs w:val="false"/>
                <w:color w:val="3A3A3A"/>
                <w:sz w:val="15"/>
                <w:szCs w:val="15"/>
              </w:rPr>
              <w:t xml:space="preserve">22 dic 2025</w:t>
            </w:r>
          </w:p>
        </w:tc>
        <w:tc>
          <w:tcPr>
            <w:tcW w:type="dxa" w:w="3234"/>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Alphabet Investor Relations (22.12.2025)</w:t>
            </w:r>
          </w:p>
          <w:p>
            <w:pPr>
              <w:spacing w:before="40" w:after="0" w:line="240" w:lineRule="auto"/>
              <w:jc w:val="left"/>
            </w:pPr>
            <w:r>
              <w:rPr>
                <w:rFonts w:ascii="Arial" w:cs="Arial" w:eastAsia="Arial" w:hAnsi="Arial"/>
                <w:b w:val="false"/>
                <w:bCs w:val="false"/>
                <w:i w:val="false"/>
                <w:iCs w:val="false"/>
                <w:color w:val="3A3A3A"/>
                <w:sz w:val="15"/>
                <w:szCs w:val="15"/>
              </w:rPr>
              <w:t xml:space="preserve">Bloomberg NEF / Axios</w:t>
            </w:r>
          </w:p>
        </w:tc>
      </w:tr>
      <w:tr>
        <w:tc>
          <w:tcPr>
            <w:tcW w:type="dxa" w:w="2926"/>
            <w:tcBorders>
              <w:top w:val="single" w:color="CCCCCC" w:sz="1"/>
              <w:left w:val="single" w:color="CCCCCC" w:sz="1"/>
              <w:bottom w:val="single" w:color="CCCCCC" w:sz="1"/>
              <w:right w:val="single" w:color="CCCCCC" w:sz="1"/>
            </w:tcBorders>
            <w:shd w:fill="D6EAE0" w:val="clear"/>
            <w:tcMar>
              <w:top w:type="dxa" w:w="90"/>
              <w:left w:type="dxa" w:w="120"/>
              <w:bottom w:type="dxa" w:w="90"/>
              <w:right w:type="dxa" w:w="80"/>
            </w:tcMar>
            <w:vAlign w:val="top"/>
          </w:tcPr>
          <w:p>
            <w:pPr>
              <w:spacing w:before="0" w:after="0" w:line="240" w:lineRule="auto"/>
              <w:jc w:val="left"/>
            </w:pPr>
            <w:r>
              <w:rPr>
                <w:rFonts w:ascii="Arial" w:cs="Arial" w:eastAsia="Arial" w:hAnsi="Arial"/>
                <w:b/>
                <w:bCs/>
                <w:i w:val="false"/>
                <w:iCs w:val="false"/>
                <w:color w:val="1A3D2B"/>
                <w:sz w:val="15"/>
                <w:szCs w:val="15"/>
              </w:rPr>
              <w:t xml:space="preserve">EOG Resources — Adquisición de Encino Acquisition Partners</w:t>
            </w:r>
          </w:p>
          <w:p>
            <w:pPr>
              <w:spacing w:before="40" w:after="0" w:line="240" w:lineRule="auto"/>
              <w:jc w:val="left"/>
            </w:pPr>
            <w:r>
              <w:rPr>
                <w:rFonts w:ascii="Arial" w:cs="Arial" w:eastAsia="Arial" w:hAnsi="Arial"/>
                <w:b w:val="false"/>
                <w:bCs w:val="false"/>
                <w:i w:val="false"/>
                <w:iCs w:val="false"/>
                <w:color w:val="1A3D2B"/>
                <w:sz w:val="15"/>
                <w:szCs w:val="15"/>
              </w:rPr>
              <w:t xml:space="preserve">(Expansión en gas natural, cuenca Utica)</w:t>
            </w:r>
          </w:p>
        </w:tc>
        <w:tc>
          <w:tcPr>
            <w:tcW w:type="dxa" w:w="631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EOG Resources adquiere Encino Acquisition Partners por $5,6 bn, ampliando su posición en la cuenca Utica (Ohio) hasta 1,1 millones de acres netos y añadiendo exposición al gas natural premium en un momento de precios al alza. La operación es inmediatamente acretiva a métricas financieras y refuerza el posicionamiento de EOG en gas, activo que cobra relevancia estratégica por la demanda LNG y de data centers. EOG eleva su dividendo un 5% tras el anuncio, señal de confianza en la generación de caja del portfolio combinado.</w:t>
            </w:r>
          </w:p>
        </w:tc>
        <w:tc>
          <w:tcPr>
            <w:tcW w:type="dxa" w:w="146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$5,6 bn</w:t>
            </w:r>
          </w:p>
        </w:tc>
        <w:tc>
          <w:tcPr>
            <w:tcW w:type="dxa" w:w="1463"/>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Q2 2025</w:t>
            </w:r>
          </w:p>
        </w:tc>
        <w:tc>
          <w:tcPr>
            <w:tcW w:type="dxa" w:w="3234"/>
            <w:tcBorders>
              <w:top w:val="single" w:color="CCCCCC" w:sz="1"/>
              <w:left w:val="single" w:color="CCCCCC" w:sz="1"/>
              <w:bottom w:val="single" w:color="CCCCCC" w:sz="1"/>
              <w:right w:val="single" w:color="CCCCCC" w:sz="1"/>
            </w:tcBorders>
            <w:shd w:fill="EAF5EE"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Houlihan Lokey Q2 2025 Oil &amp; Gas M&amp;A Update</w:t>
            </w:r>
          </w:p>
          <w:p>
            <w:pPr>
              <w:spacing w:before="40" w:after="0" w:line="240" w:lineRule="auto"/>
              <w:jc w:val="left"/>
            </w:pPr>
            <w:r>
              <w:rPr>
                <w:rFonts w:ascii="Arial" w:cs="Arial" w:eastAsia="Arial" w:hAnsi="Arial"/>
                <w:b w:val="false"/>
                <w:bCs w:val="false"/>
                <w:i w:val="false"/>
                <w:iCs w:val="false"/>
                <w:color w:val="3A3A3A"/>
                <w:sz w:val="15"/>
                <w:szCs w:val="15"/>
              </w:rPr>
              <w:t xml:space="preserve">S&amp;P Global Commodity Insights</w:t>
            </w:r>
          </w:p>
        </w:tc>
      </w:tr>
      <w:tr>
        <w:tc>
          <w:tcPr>
            <w:tcW w:type="dxa" w:w="2926"/>
            <w:tcBorders>
              <w:top w:val="single" w:color="CCCCCC" w:sz="1"/>
              <w:left w:val="single" w:color="CCCCCC" w:sz="1"/>
              <w:bottom w:val="single" w:color="CCCCCC" w:sz="1"/>
              <w:right w:val="single" w:color="CCCCCC" w:sz="1"/>
            </w:tcBorders>
            <w:shd w:fill="E0E0E0" w:val="clear"/>
            <w:tcMar>
              <w:top w:type="dxa" w:w="90"/>
              <w:left w:type="dxa" w:w="120"/>
              <w:bottom w:type="dxa" w:w="90"/>
              <w:right w:type="dxa" w:w="80"/>
            </w:tcMar>
            <w:vAlign w:val="top"/>
          </w:tcPr>
          <w:p>
            <w:pPr>
              <w:spacing w:before="0" w:after="0" w:line="240" w:lineRule="auto"/>
              <w:jc w:val="left"/>
            </w:pPr>
            <w:r>
              <w:rPr>
                <w:rFonts w:ascii="Arial" w:cs="Arial" w:eastAsia="Arial" w:hAnsi="Arial"/>
                <w:b/>
                <w:bCs/>
                <w:i w:val="false"/>
                <w:iCs w:val="false"/>
                <w:color w:val="1A3D2B"/>
                <w:sz w:val="15"/>
                <w:szCs w:val="15"/>
              </w:rPr>
              <w:t xml:space="preserve">NRG Energy — Adquisición de portfolio LS Power</w:t>
            </w:r>
          </w:p>
          <w:p>
            <w:pPr>
              <w:spacing w:before="40" w:after="0" w:line="240" w:lineRule="auto"/>
              <w:jc w:val="left"/>
            </w:pPr>
            <w:r>
              <w:rPr>
                <w:rFonts w:ascii="Arial" w:cs="Arial" w:eastAsia="Arial" w:hAnsi="Arial"/>
                <w:b w:val="false"/>
                <w:bCs w:val="false"/>
                <w:i w:val="false"/>
                <w:iCs w:val="false"/>
                <w:color w:val="1A3D2B"/>
                <w:sz w:val="15"/>
                <w:szCs w:val="15"/>
              </w:rPr>
              <w:t xml:space="preserve">(Gas dispatchable para demanda de IA)</w:t>
            </w:r>
          </w:p>
        </w:tc>
        <w:tc>
          <w:tcPr>
            <w:tcW w:type="dxa" w:w="63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NRG Energy adquiere un portfolio de activos de generación de gas de LS Power por $12,5 bn. La transacción duplica el valor de las operaciones de renewable assets M&amp;A del año y subraya el papel central del gas natural dispatchable como activo estratégico premium en el mercado eléctrico estadounidense bajo la presión de la demanda AI. Los tiempos de construcción largos para nueva generación hacen que los activos existentes de gas tengan valoraciones récord. La operación confirma el patrón 2025: escala, gas dispatchable, y posicionamiento en mercados de alta demanda.</w:t>
            </w:r>
          </w:p>
        </w:tc>
        <w:tc>
          <w:tcPr>
            <w:tcW w:type="dxa" w:w="146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$12,5 bn</w:t>
            </w:r>
          </w:p>
        </w:tc>
        <w:tc>
          <w:tcPr>
            <w:tcW w:type="dxa" w:w="146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2025</w:t>
            </w:r>
          </w:p>
        </w:tc>
        <w:tc>
          <w:tcPr>
            <w:tcW w:type="dxa" w:w="3234"/>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vAlign w:val="top"/>
          </w:tcPr>
          <w:p>
            <w:pPr>
              <w:spacing w:before="0" w:after="0" w:line="240" w:lineRule="auto"/>
              <w:jc w:val="left"/>
            </w:pPr>
            <w:r>
              <w:rPr>
                <w:rFonts w:ascii="Arial" w:cs="Arial" w:eastAsia="Arial" w:hAnsi="Arial"/>
                <w:b w:val="false"/>
                <w:bCs w:val="false"/>
                <w:i w:val="false"/>
                <w:iCs w:val="false"/>
                <w:color w:val="3A3A3A"/>
                <w:sz w:val="15"/>
                <w:szCs w:val="15"/>
              </w:rPr>
              <w:t xml:space="preserve">PwC Global M&amp;A Energy Outlook 2026</w:t>
            </w:r>
          </w:p>
          <w:p>
            <w:pPr>
              <w:spacing w:before="40" w:after="0" w:line="240" w:lineRule="auto"/>
              <w:jc w:val="left"/>
            </w:pPr>
            <w:r>
              <w:rPr>
                <w:rFonts w:ascii="Arial" w:cs="Arial" w:eastAsia="Arial" w:hAnsi="Arial"/>
                <w:b w:val="false"/>
                <w:bCs w:val="false"/>
                <w:i w:val="false"/>
                <w:iCs w:val="false"/>
                <w:color w:val="3A3A3A"/>
                <w:sz w:val="15"/>
                <w:szCs w:val="15"/>
              </w:rPr>
              <w:t xml:space="preserve">Utility Dive (dic 2025)</w:t>
            </w:r>
          </w:p>
        </w:tc>
      </w:tr>
    </w:tbl>
    <w:p>
      <w:pPr>
        <w:spacing w:before="0" w:after="0" w:line="240" w:lineRule="auto"/>
        <w:jc w:val="left"/>
      </w:pPr>
      <w:r>
        <w:rPr>
          <w:rFonts w:ascii="Arial" w:cs="Arial" w:eastAsia="Arial" w:hAnsi="Arial"/>
          <w:b w:val="false"/>
          <w:bCs w:val="false"/>
          <w:i w:val="false"/>
          <w:iCs w:val="false"/>
          <w:color w:val="3A3A3A"/>
          <w:sz w:val="10"/>
          <w:szCs w:val="10"/>
        </w:rPr>
        <w:t xml:space="preserve"> </w:t>
      </w:r>
    </w:p>
    <w:tbl>
      <w:tblPr>
        <w:tblW w:type="dxa" w:w="15398"/>
        <w:tblBorders>
          <w:top w:val="none" w:color="FFFFFF" w:sz="0"/>
          <w:left w:val="none" w:color="FFFFFF" w:sz="0"/>
          <w:bottom w:val="none" w:color="FFFFFF" w:sz="0"/>
          <w:right w:val="none" w:color="FFFFFF" w:sz="0"/>
          <w:insideH w:val="single" w:color="auto" w:sz="4"/>
          <w:insideV w:val="single" w:color="auto" w:sz="4"/>
        </w:tblBorders>
      </w:tblPr>
      <w:tblGrid>
        <w:gridCol w:w="15398"/>
      </w:tblGrid>
      <w:tr>
        <w:tc>
          <w:tcPr>
            <w:tcW w:type="dxa" w:w="15398"/>
            <w:tcBorders>
              <w:top w:val="none" w:color="FFFFFF" w:sz="0"/>
              <w:left w:val="none" w:color="FFFFFF" w:sz="0"/>
              <w:bottom w:val="none" w:color="FFFFFF" w:sz="0"/>
              <w:right w:val="none" w:color="FFFFFF" w:sz="0"/>
            </w:tcBorders>
            <w:shd w:fill="1A3D2B" w:val="clear"/>
            <w:tcMar>
              <w:top w:type="dxa" w:w="120"/>
              <w:left w:type="dxa" w:w="240"/>
              <w:bottom w:type="dxa" w:w="100"/>
              <w:right w:type="dxa" w:w="240"/>
            </w:tcMar>
            <w:vAlign w:val="top"/>
          </w:tcPr>
          <w:p>
            <w:pPr>
              <w:spacing w:before="0" w:after="0" w:line="240" w:lineRule="auto"/>
              <w:jc w:val="left"/>
            </w:pPr>
            <w:r>
              <w:rPr>
                <w:rFonts w:ascii="Arial" w:cs="Arial" w:eastAsia="Arial" w:hAnsi="Arial"/>
                <w:b w:val="false"/>
                <w:bCs w:val="false"/>
                <w:i w:val="false"/>
                <w:iCs w:val="false"/>
                <w:color w:val="6AAD8A"/>
                <w:sz w:val="12"/>
                <w:szCs w:val="12"/>
              </w:rPr>
              <w:t xml:space="preserve">FUENTES: IEA – World Energy Investment 2025  ·  BloombergNEF – Energy Transition Investment Trends 2026 (datos 2025)  ·  S&amp;P Global Commodity Insights – Energy M&amp;A  ·  PwC Global M&amp;A Energy Outlook 2026  ·  KPMG M&amp;A Trends Energy 2025  ·  Houlihan Lokey Q2-2025 Oil &amp; Gas M&amp;A Update  ·  Comunicados oficiales de compañías (Constellation, Baker Hughes, Sempra, Alphabet, EOG Resources, NRG Energy)  ·  Reuters / Bloomberg</w:t>
            </w:r>
          </w:p>
          <w:p>
            <w:pPr>
              <w:spacing w:before="40" w:after="0" w:line="240" w:lineRule="auto"/>
              <w:jc w:val="left"/>
            </w:pPr>
            <w:r>
              <w:rPr>
                <w:rFonts w:ascii="Arial" w:cs="Arial" w:eastAsia="Arial" w:hAnsi="Arial"/>
                <w:b w:val="false"/>
                <w:bCs w:val="false"/>
                <w:i w:val="false"/>
                <w:iCs w:val="false"/>
                <w:color w:val="4A8A6A"/>
                <w:sz w:val="12"/>
                <w:szCs w:val="12"/>
              </w:rPr>
              <w:t xml:space="preserve">CaixaBank CIB  ·  Dirección Global de Investment Banking  ·  Documento preparado para el Consejo de Administración  ·  2S 2025  ·  Clasificación: Interno Confidencial</w:t>
            </w:r>
          </w:p>
        </w:tc>
      </w:tr>
    </w:tbl>
    <w:sectPr>
      <w:pgSz w:w="16838" w:h="11906" w:orient="landscape"/>
      <w:pgMar w:top="480" w:right="720" w:bottom="48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2026-02-26T11:42:50.734Z</dcterms:created>
  <dcterms:modified xsi:type="dcterms:W3CDTF">2026-02-26T11:42:50.735Z</dcterms:modified>
</cp:coreProperties>
</file>

<file path=docProps/custom.xml><?xml version="1.0" encoding="utf-8"?>
<Properties xmlns="http://schemas.openxmlformats.org/officeDocument/2006/custom-properties" xmlns:vt="http://schemas.openxmlformats.org/officeDocument/2006/docPropsVTypes"/>
</file>