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3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5398"/>
      </w:tblGrid>
      <w:tr>
        <w:tc>
          <w:tcPr>
            <w:tcW w:type="dxa" w:w="15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D4EA"/>
                <w:sz w:val="14"/>
                <w:szCs w:val="14"/>
              </w:rPr>
              <w:t xml:space="preserve">CIB VISION MONOPRODUCTO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STRUCTURED FINANCE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B8D4EA"/>
                <w:sz w:val="14"/>
                <w:szCs w:val="14"/>
              </w:rPr>
              <w:t xml:space="preserve">  |  2S 2025</w:t>
            </w:r>
          </w:p>
          <w:p>
            <w:pPr>
              <w:spacing w:before="4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0C0D8"/>
                <w:sz w:val="13"/>
                <w:szCs w:val="13"/>
              </w:rPr>
              <w:t xml:space="preserve">Consejo de Administración CaixaBank  ·  Ámbito: Internacional  ·  Operaciones &gt; €100M  ·  Fuentes: AFME · ESMA · ECB · EBA · GlobalCapital · S&amp;P · JP Morgan · Deutsche Bank</w:t>
            </w:r>
          </w:p>
        </w:tc>
      </w:tr>
    </w:tbl>
    <w:p>
      <w:pPr>
        <w:spacing w:before="0" w:after="0" w:line="240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8"/>
          <w:szCs w:val="8"/>
        </w:rPr>
        <w:t xml:space="preserve"> </w:t>
      </w:r>
    </w:p>
    <w:tbl>
      <w:tblPr>
        <w:tblW w:type="dxa" w:w="153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5398"/>
      </w:tblGrid>
      <w:tr>
        <w:tc>
          <w:tcPr>
            <w:tcW w:type="dxa" w:w="15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5F8A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  01 |  DINÁMICAS DE MERCADO  —  STRUCTURED FINANCE  (2S 2025)</w:t>
            </w:r>
          </w:p>
        </w:tc>
      </w:tr>
    </w:tbl>
    <w:p>
      <w:pPr>
        <w:spacing w:before="0" w:after="0" w:line="240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6"/>
          <w:szCs w:val="6"/>
        </w:rPr>
        <w:t xml:space="preserve"> 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57"/>
        <w:gridCol w:w="11241"/>
      </w:tblGrid>
      <w:tr>
        <w:tc>
          <w:tcPr>
            <w:tcW w:type="dxa" w:w="415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DINÁMICA</w:t>
            </w:r>
          </w:p>
        </w:tc>
        <w:tc>
          <w:tcPr>
            <w:tcW w:type="dxa" w:w="1124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DESCRIPCIÓN E IMPLICACIONES PARA CIB</w:t>
            </w:r>
          </w:p>
        </w:tc>
      </w:tr>
      <w:tr>
        <w:tc>
          <w:tcPr>
            <w:tcW w:type="dxa" w:w="415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5F8A"/>
                <w:sz w:val="15"/>
                <w:szCs w:val="15"/>
              </w:rPr>
              <w:t xml:space="preserve">1.  VOLUMEN RÉCORD EN EUROPA — €275bn EN 2025</w:t>
            </w:r>
          </w:p>
        </w:tc>
        <w:tc>
          <w:tcPr>
            <w:tcW w:type="dxa" w:w="1124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6"/>
                <w:szCs w:val="16"/>
              </w:rPr>
              <w:t xml:space="preserve">La emisión europea de productos securitizados alcanza ~€275bn en 2025 (+9% interanual a oct-25), igualando el máximo post-crisis financiera de 2021. El volumen vivo supera €1.27 billones a Q3 2025 (+6,8% interanual). El mercado CLO europeo lidera con €51,75bn de nueva emisión a nov-25, ya por encima del récord anterior completo de 2024 (€45,9bn). Señal: el mercado de capitales estructurados opera en modo expansivo, con demanda inversora sostenida y condiciones de financiación favorables para los bancos europeos.</w:t>
            </w:r>
          </w:p>
        </w:tc>
      </w:tr>
      <w:tr>
        <w:tc>
          <w:tcPr>
            <w:tcW w:type="dxa" w:w="415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5F8A"/>
                <w:sz w:val="15"/>
                <w:szCs w:val="15"/>
              </w:rPr>
              <w:t xml:space="preserve">2.  SRT (Significant Risk Transfer) — EL GRAN MOTOR ESTRATÉGICO</w:t>
            </w:r>
          </w:p>
        </w:tc>
        <w:tc>
          <w:tcPr>
            <w:tcW w:type="dxa" w:w="1124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6"/>
                <w:szCs w:val="16"/>
              </w:rPr>
              <w:t xml:space="preserve">La securitización sintética para alivio de capital registra crecimiento del +85% en H1 2025 (vs. +24% en 2022-2024 completos). Más del 50% de los bancos europeos usa SRT; otro 25% planea adoptarlos. El ECB ha lanzado un proceso fast-track para agilizar la aprobación. Alerta regulatoria: ECB, EBA, ESRB e IMF advierten de riesgo de roll-over si la tendencia continúa. Para CaixaBank: herramienta prioritaria de gestión de capital y RWA.</w:t>
            </w:r>
          </w:p>
        </w:tc>
      </w:tr>
      <w:tr>
        <w:tc>
          <w:tcPr>
            <w:tcW w:type="dxa" w:w="415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5F8A"/>
                <w:sz w:val="15"/>
                <w:szCs w:val="15"/>
              </w:rPr>
              <w:t xml:space="preserve">3.  NUEVOS ACTIVOS: DATA CENTERS Y RENOVABLES — TENDENCIA ESTRUCTURAL</w:t>
            </w:r>
          </w:p>
        </w:tc>
        <w:tc>
          <w:tcPr>
            <w:tcW w:type="dxa" w:w="1124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6"/>
                <w:szCs w:val="16"/>
              </w:rPr>
              <w:t xml:space="preserve">Emergen nuevas clases de activos securitizables ligadas a la IA y la transición energética. La capacidad de data centers en Europa está prevista duplicarse a 10GW en una década. Primera ABS euro de data centers en Europa continental completada en 2025 (Vantage/Barclays, €640M). Securitización de activos solares residenciales y préstamos renovables en expansión. Oportunidad: nueva frontera de originación y estructuración con impacto ESG directo.</w:t>
            </w:r>
          </w:p>
        </w:tc>
      </w:tr>
      <w:tr>
        <w:tc>
          <w:tcPr>
            <w:tcW w:type="dxa" w:w="415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5F8A"/>
                <w:sz w:val="15"/>
                <w:szCs w:val="15"/>
              </w:rPr>
              <w:t xml:space="preserve">4.  REFORMA REGULATORIA EU — REVISIÓN DEL MARCO DE SECURITIZACIÓN</w:t>
            </w:r>
          </w:p>
        </w:tc>
        <w:tc>
          <w:tcPr>
            <w:tcW w:type="dxa" w:w="1124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6"/>
                <w:szCs w:val="16"/>
              </w:rPr>
              <w:t xml:space="preserve">La Comisión Europea presentó en 2025 la revisión del Reglamento de Securitización, con propuestas de simplificación del marco STS, armonización del proceso de aprobación SRT y reducción de requisitos de due diligence. Objetivo: equiparar la competitividad del mercado europeo frente al mercado americano. Debate pendiente: capital banks vs. aseguradoras en tratamiento SRT. El marco final se espera para 2026. Contexto: la UE sigue emitiendo 3 veces menos que EE.UU. en términos comparables.</w:t>
            </w:r>
          </w:p>
        </w:tc>
      </w:tr>
      <w:tr>
        <w:tc>
          <w:tcPr>
            <w:tcW w:type="dxa" w:w="4157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5F8A"/>
                <w:sz w:val="15"/>
                <w:szCs w:val="15"/>
              </w:rPr>
              <w:t xml:space="preserve">5.  INVERSORES ASIÁTICOS — BASE INVERSORA EN EXPANSIÓN</w:t>
            </w:r>
          </w:p>
        </w:tc>
        <w:tc>
          <w:tcPr>
            <w:tcW w:type="dxa" w:w="11241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6"/>
                <w:szCs w:val="16"/>
              </w:rPr>
              <w:t xml:space="preserve">Los inversores japoneses y asiáticos incrementan significativamente su presencia en CLOs europeos en 2025, atraídos por la estabilidad relativa del mercado europeo frente a la incertidumbre geopolítica americana (aranceles, política). El WACC de CLOs europeos cae de 222bp (Q2 2024) a 202bp (Q2 2025), mejorando el arbitraje para los emisores. Se registran 160-180 warehouses de financiación abiertos a nov-25 (vs. 90-100 en 2024). Señal: la internacionalización de la base inversora amplía la capacidad de absorción del mercado.</w:t>
            </w:r>
          </w:p>
        </w:tc>
      </w:tr>
    </w:tbl>
    <w:p>
      <w:pPr>
        <w:spacing w:before="0" w:after="0" w:line="240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0"/>
          <w:szCs w:val="10"/>
        </w:rPr>
        <w:t xml:space="preserve"> </w:t>
      </w:r>
    </w:p>
    <w:tbl>
      <w:tblPr>
        <w:tblW w:type="dxa" w:w="153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5398"/>
      </w:tblGrid>
      <w:tr>
        <w:tc>
          <w:tcPr>
            <w:tcW w:type="dxa" w:w="15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5F8A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  02 |  GRANDES OPERACIONES  —  STRUCTURED FINANCE  &gt;€100M  (2S 2025)</w:t>
            </w:r>
          </w:p>
        </w:tc>
      </w:tr>
    </w:tbl>
    <w:p>
      <w:pPr>
        <w:spacing w:before="0" w:after="0" w:line="240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6"/>
          <w:szCs w:val="6"/>
        </w:rPr>
        <w:t xml:space="preserve"> </w:t>
      </w:r>
    </w:p>
    <w:tbl>
      <w:tblPr>
        <w:tblW w:type="dxa" w:w="15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6"/>
        <w:gridCol w:w="6313"/>
        <w:gridCol w:w="1540"/>
        <w:gridCol w:w="1848"/>
        <w:gridCol w:w="2772"/>
      </w:tblGrid>
      <w:tr>
        <w:tc>
          <w:tcPr>
            <w:tcW w:type="dxa" w:w="2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OPERACIÓN</w:t>
            </w:r>
          </w:p>
        </w:tc>
        <w:tc>
          <w:tcPr>
            <w:tcW w:type="dxa" w:w="63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DESCRIPCIÓN</w:t>
            </w:r>
          </w:p>
        </w:tc>
        <w:tc>
          <w:tcPr>
            <w:tcW w:type="dxa" w:w="15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VOLUMEN</w:t>
            </w:r>
          </w:p>
        </w:tc>
        <w:tc>
          <w:tcPr>
            <w:tcW w:type="dxa" w:w="18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FECHA</w:t>
            </w:r>
          </w:p>
        </w:tc>
        <w:tc>
          <w:tcPr>
            <w:tcW w:type="dxa" w:w="27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FUENTE</w:t>
            </w:r>
          </w:p>
        </w:tc>
      </w:tr>
      <w:tr>
        <w:tc>
          <w:tcPr>
            <w:tcW w:type="dxa" w:w="2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5F8A"/>
                <w:sz w:val="15"/>
                <w:szCs w:val="15"/>
              </w:rPr>
              <w:t xml:space="preserve">Arini European CLO VII — Mayor CLO europeo de nueva emisión en 2025</w:t>
            </w:r>
          </w:p>
        </w:tc>
        <w:tc>
          <w:tcPr>
            <w:tcW w:type="dxa" w:w="63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Arini Capital Management emite el CLO europeo de nueva emisión de mayor tamaño de 2025, con 25 inversores participantes (11 de rating AAA y 9 nuevos). El deal establece un nuevo benchmark de tamaño para el mercado europeo, superando el estándar de €400M. Refleja el fuerte apetito inversor por el mercado de CLOs europeos y la expansión de la base de inversores institucionales internacionales.</w:t>
            </w:r>
          </w:p>
        </w:tc>
        <w:tc>
          <w:tcPr>
            <w:tcW w:type="dxa" w:w="15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€615,7M</w:t>
            </w:r>
          </w:p>
        </w:tc>
        <w:tc>
          <w:tcPr>
            <w:tcW w:type="dxa" w:w="18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Sep 2025</w:t>
            </w:r>
          </w:p>
        </w:tc>
        <w:tc>
          <w:tcPr>
            <w:tcW w:type="dxa" w:w="27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GlobalCapital / Alternative Credit Investor (sep. 2025)</w:t>
            </w:r>
          </w:p>
        </w:tc>
      </w:tr>
      <w:tr>
        <w:tc>
          <w:tcPr>
            <w:tcW w:type="dxa" w:w="2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5F8A"/>
                <w:sz w:val="15"/>
                <w:szCs w:val="15"/>
              </w:rPr>
              <w:t xml:space="preserve">Vantage Data Centers — Primera ABS euro de data centers en Europa Continental</w:t>
            </w:r>
          </w:p>
        </w:tc>
        <w:tc>
          <w:tcPr>
            <w:tcW w:type="dxa" w:w="63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Primera securitización de activos de centros de datos denominada en euros en Europa continental. Respalda cuatro centros de datos en Alemania (Berlín y Frankfurt) totalmente arrendados a clientes hyperscale. Marcadores clave: rating A- (S&amp;P/Scope), designación Green Bond, estructurada por Barclays y Deutsche Bank. Abre una nueva clase de activo ABS en Europa alineada con la IA y la demanda de cloud.</w:t>
            </w:r>
          </w:p>
        </w:tc>
        <w:tc>
          <w:tcPr>
            <w:tcW w:type="dxa" w:w="15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€640M</w:t>
            </w:r>
          </w:p>
        </w:tc>
        <w:tc>
          <w:tcPr>
            <w:tcW w:type="dxa" w:w="18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Jun 2025</w:t>
            </w:r>
          </w:p>
        </w:tc>
        <w:tc>
          <w:tcPr>
            <w:tcW w:type="dxa" w:w="27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BusinessWire / Vantage Data Centers (9 jun. 2025)</w:t>
            </w:r>
          </w:p>
        </w:tc>
      </w:tr>
      <w:tr>
        <w:tc>
          <w:tcPr>
            <w:tcW w:type="dxa" w:w="2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5F8A"/>
                <w:sz w:val="15"/>
                <w:szCs w:val="15"/>
              </w:rPr>
              <w:t xml:space="preserve">BBVA — SRT ESG-linked sobre cartera de préstamos corporativos (PGGM + Alecta)</w:t>
            </w:r>
          </w:p>
        </w:tc>
        <w:tc>
          <w:tcPr>
            <w:tcW w:type="dxa" w:w="63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BBVA amplía su operación de transferencia de riesgo significativo (SRT) de €2bn a €6bn con PGGM y la sueca Alecta. +30% del portfolio ligado a KPIs ESG (emisiones, agua, diversidad). Estructura STS-eligible con 79% de alivio de capital para BBVA. Referencia de mercado que combina gestión de capital regulatorio, acceso a inversores institucionales y finanzas sostenibles.</w:t>
            </w:r>
          </w:p>
        </w:tc>
        <w:tc>
          <w:tcPr>
            <w:tcW w:type="dxa" w:w="15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€6.000M (referencia)</w:t>
            </w:r>
          </w:p>
        </w:tc>
        <w:tc>
          <w:tcPr>
            <w:tcW w:type="dxa" w:w="18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Abr 2025</w:t>
            </w:r>
          </w:p>
        </w:tc>
        <w:tc>
          <w:tcPr>
            <w:tcW w:type="dxa" w:w="27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Bloomberg / BBVA CIB (2 abr. 2025)</w:t>
            </w:r>
          </w:p>
        </w:tc>
      </w:tr>
      <w:tr>
        <w:tc>
          <w:tcPr>
            <w:tcW w:type="dxa" w:w="2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5F8A"/>
                <w:sz w:val="15"/>
                <w:szCs w:val="15"/>
              </w:rPr>
              <w:t xml:space="preserve">CaixaBank, NatWest, Barclays — Emisiones jumbo de ABS para alivio de capital</w:t>
            </w:r>
          </w:p>
        </w:tc>
        <w:tc>
          <w:tcPr>
            <w:tcW w:type="dxa" w:w="63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Tres grandes bancos europeos ejecutan operaciones de ABS de gran volumen para liberar capital regulatorio sobre carteras hipotecarias y de consumo. GlobalCapital reporta la tendencia como patrón de mercado en nov-25. Demuestra que la securitización true-sale de grandes carteras bancarias está recuperando protagonismo como herramienta estratégica de gestión de balance. Directamente relevante para la estrategia de CaixaBank.</w:t>
            </w:r>
          </w:p>
        </w:tc>
        <w:tc>
          <w:tcPr>
            <w:tcW w:type="dxa" w:w="15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N/D (&gt;€100M c/u)</w:t>
            </w:r>
          </w:p>
        </w:tc>
        <w:tc>
          <w:tcPr>
            <w:tcW w:type="dxa" w:w="18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Nov 2025</w:t>
            </w:r>
          </w:p>
        </w:tc>
        <w:tc>
          <w:tcPr>
            <w:tcW w:type="dxa" w:w="27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GlobalCapital (20 nov. 2025)</w:t>
            </w:r>
          </w:p>
        </w:tc>
      </w:tr>
      <w:tr>
        <w:tc>
          <w:tcPr>
            <w:tcW w:type="dxa" w:w="2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5F8A"/>
                <w:sz w:val="15"/>
                <w:szCs w:val="15"/>
              </w:rPr>
              <w:t xml:space="preserve">Oaktree Capital — CLO europeo de gran tamaño mandatado a Barclays</w:t>
            </w:r>
          </w:p>
        </w:tc>
        <w:tc>
          <w:tcPr>
            <w:tcW w:type="dxa" w:w="63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Oaktree Capital Management, uno de los gestores de crédito más relevantes a escala global, manda a Barclays la colocación de un CLO europeo de €819,65M, con varios tramos incluyendo notas clase B con spread inicial orientativo de 185bp. Operación que confirma el incremento del tamaño benchmark de los CLOs europeos y la concentración de actividad en gestores de primer nivel global.</w:t>
            </w:r>
          </w:p>
        </w:tc>
        <w:tc>
          <w:tcPr>
            <w:tcW w:type="dxa" w:w="15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€819,65M</w:t>
            </w:r>
          </w:p>
        </w:tc>
        <w:tc>
          <w:tcPr>
            <w:tcW w:type="dxa" w:w="18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2025</w:t>
            </w:r>
          </w:p>
        </w:tc>
        <w:tc>
          <w:tcPr>
            <w:tcW w:type="dxa" w:w="27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GlobalCapital Securitization (2025)</w:t>
            </w:r>
          </w:p>
        </w:tc>
      </w:tr>
      <w:tr>
        <w:tc>
          <w:tcPr>
            <w:tcW w:type="dxa" w:w="2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5F8A"/>
                <w:sz w:val="15"/>
                <w:szCs w:val="15"/>
              </w:rPr>
              <w:t xml:space="preserve">Emisión europea total CLO 2025 — Récord histórico de mercado</w:t>
            </w:r>
          </w:p>
        </w:tc>
        <w:tc>
          <w:tcPr>
            <w:tcW w:type="dxa" w:w="63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El mercado europeo de CLOs cierra 2025 con €51,75bn+ de nueva emisión (datos a nov-25, KopenTech), superando el récord previo de €45,9bn (2024 completo, S&amp;P). Además, €49,11bn en resets/refinanciaciones (vs. €29,86bn en todo 2024). El WACC de CLO europeos se reduce de 222bp a 202bp en un año. Amplificado por el ingreso de inversores japoneses y asiáticos que buscan estabilidad frente al mercado americano.</w:t>
            </w:r>
          </w:p>
        </w:tc>
        <w:tc>
          <w:tcPr>
            <w:tcW w:type="dxa" w:w="15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€51,75bn+ (emisión nueva)</w:t>
            </w:r>
          </w:p>
        </w:tc>
        <w:tc>
          <w:tcPr>
            <w:tcW w:type="dxa" w:w="18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Nov 2025</w:t>
            </w:r>
          </w:p>
        </w:tc>
        <w:tc>
          <w:tcPr>
            <w:tcW w:type="dxa" w:w="27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5"/>
                <w:szCs w:val="15"/>
              </w:rPr>
              <w:t xml:space="preserve">GlobalCapital / KopenTech / JP Morgan (dic. 2025)</w:t>
            </w:r>
          </w:p>
        </w:tc>
      </w:tr>
    </w:tbl>
    <w:p>
      <w:pPr>
        <w:spacing w:before="0" w:after="0" w:line="240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8"/>
          <w:szCs w:val="8"/>
        </w:rPr>
        <w:t xml:space="preserve"> </w:t>
      </w:r>
    </w:p>
    <w:tbl>
      <w:tblPr>
        <w:tblW w:type="dxa" w:w="153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5398"/>
      </w:tblGrid>
      <w:tr>
        <w:tc>
          <w:tcPr>
            <w:tcW w:type="dxa" w:w="15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0C0D8"/>
                <w:sz w:val="12"/>
                <w:szCs w:val="12"/>
              </w:rPr>
              <w:t xml:space="preserve">FUENTES: AFME Q2-Q3 2025 Securitisation Data Report  ·  ESMA Securitisation Framework  ·  ECB Supervisory Banking Statistics  ·  EBA Securitisation Dashboard  ·  GlobalCapital (European ABS &amp; CLOs)  ·  S&amp;P Global / Scope Ratings  ·  JP Morgan EMEA CLO Research  ·  Deutsche Bank Securitisation Research  ·  Bloomberg</w:t>
            </w:r>
          </w:p>
          <w:p>
            <w:pPr>
              <w:spacing w:before="30" w:after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090A8"/>
                <w:sz w:val="12"/>
                <w:szCs w:val="12"/>
              </w:rPr>
              <w:t xml:space="preserve">Documento preparado para uso interno del Consejo de Administración de CaixaBank  ·  CIB — Global Investment Banking  ·  2S 2025</w:t>
            </w:r>
          </w:p>
        </w:tc>
      </w:tr>
    </w:tbl>
    <w:sectPr>
      <w:pgSz w:w="12240" w:h="15840" w:orient="landscape"/>
      <w:pgMar w:top="500" w:right="720" w:bottom="5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6"/>
        <w:szCs w:val="1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2026-02-26T09:06:27.568Z</dcterms:created>
  <dcterms:modified xsi:type="dcterms:W3CDTF">2026-02-26T09:06:27.569Z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