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widowControl/>
        <w:bidi w:val="0"/>
        <w:spacing w:before="240" w:after="120"/>
        <w:ind w:hanging="0" w:start="567" w:end="567"/>
        <w:rPr>
          <w:rFonts w:ascii="Arial;Helvetica;sans-serif" w:hAnsi="Arial;Helvetica;sans-serif"/>
          <w:b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PROMPT MASTER</w:t>
      </w:r>
    </w:p>
    <w:p>
      <w:pPr>
        <w:pStyle w:val="BlockQuotation"/>
        <w:widowControl/>
        <w:bidi w:val="0"/>
        <w:spacing w:before="0" w:after="0"/>
        <w:ind w:hanging="0"/>
        <w:rPr/>
      </w:pPr>
      <w:r>
        <w:rPr/>
      </w:r>
    </w:p>
    <w:p>
      <w:pPr>
        <w:pStyle w:val="BlockQuotation"/>
        <w:widowControl/>
        <w:bidi w:val="0"/>
        <w:spacing w:before="0" w:after="0"/>
        <w:ind w:hanging="0"/>
        <w:rPr/>
      </w:pPr>
      <w:r>
        <w:rPr/>
      </w:r>
    </w:p>
    <w:p>
      <w:pPr>
        <w:pStyle w:val="BlockQuotation"/>
        <w:widowControl/>
        <w:bidi w:val="0"/>
        <w:spacing w:before="0" w:after="0"/>
        <w:ind w:hanging="0"/>
        <w:rPr/>
      </w:pPr>
      <w:r>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_____________________</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CONTEXTO Y ROL</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Actúa como Director Global de Investment Banking (CIB) de un gran banco europeo, preparando una presentación semestral para el Consejo de Administración de CaixaBank. El Consejo dispone de 20 minutos, tiene perfil no técnico, y valorará especialmente: claridad, visión estratégica, capacidad de síntesis y transparencia sobre los puntos clave del negocio.</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______________________</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ASPECTOS CLAVE</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Sé conciso.</w:t>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Sé riguroso</w:t>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Sé escéptico</w:t>
      </w:r>
    </w:p>
    <w:p>
      <w:pPr>
        <w:pStyle w:val="BlockQuotation"/>
        <w:widowControl/>
        <w:bidi w:val="0"/>
        <w:spacing w:before="0" w:after="0"/>
        <w:ind w:hanging="0" w:start="567" w:end="567"/>
        <w:rPr>
          <w:rFonts w:ascii="ArialMT" w:hAnsi="ArialMT"/>
          <w:sz w:val="21"/>
        </w:rPr>
      </w:pPr>
      <w:r>
        <w:rPr>
          <w:rFonts w:ascii="ArialMT" w:hAnsi="ArialMT"/>
          <w:b w:val="false"/>
          <w:i w:val="false"/>
          <w:caps w:val="false"/>
          <w:smallCaps w:val="false"/>
          <w:color w:val="222222"/>
          <w:spacing w:val="0"/>
          <w:sz w:val="21"/>
        </w:rPr>
        <w:t>Prioriza la señal frente al ruido.</w:t>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No inventes</w:t>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No alucines</w:t>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Utiliza EXCLUSIVAMENTE las fuentes que te propongo a continuación.</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____________________</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sz w:val="21"/>
        </w:rPr>
      </w:pPr>
      <w:r>
        <w:rPr>
          <w:rFonts w:ascii="ArialMT" w:hAnsi="ArialMT"/>
          <w:b w:val="false"/>
          <w:i w:val="false"/>
          <w:caps w:val="false"/>
          <w:smallCaps w:val="false"/>
          <w:color w:val="222222"/>
          <w:spacing w:val="0"/>
          <w:sz w:val="21"/>
        </w:rPr>
        <w:t>PRODUCTOS DE CIB</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Estas son las categorias de productos con las que trabaja CIB</w:t>
      </w:r>
    </w:p>
    <w:p>
      <w:pPr>
        <w:pStyle w:val="BlockQuotation"/>
        <w:widowControl/>
        <w:numPr>
          <w:ilvl w:val="0"/>
          <w:numId w:val="1"/>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Structured Finance</w:t>
      </w:r>
    </w:p>
    <w:p>
      <w:pPr>
        <w:pStyle w:val="BlockQuotation"/>
        <w:widowControl/>
        <w:numPr>
          <w:ilvl w:val="0"/>
          <w:numId w:val="1"/>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Asset Finance</w:t>
      </w:r>
    </w:p>
    <w:p>
      <w:pPr>
        <w:pStyle w:val="BlockQuotation"/>
        <w:widowControl/>
        <w:numPr>
          <w:ilvl w:val="0"/>
          <w:numId w:val="1"/>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Structured Trade Finance</w:t>
      </w:r>
    </w:p>
    <w:p>
      <w:pPr>
        <w:pStyle w:val="BlockQuotation"/>
        <w:widowControl/>
        <w:numPr>
          <w:ilvl w:val="0"/>
          <w:numId w:val="1"/>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Transaction Banking</w:t>
      </w:r>
    </w:p>
    <w:p>
      <w:pPr>
        <w:pStyle w:val="BlockQuotation"/>
        <w:widowControl/>
        <w:numPr>
          <w:ilvl w:val="0"/>
          <w:numId w:val="1"/>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DCM</w:t>
      </w:r>
    </w:p>
    <w:p>
      <w:pPr>
        <w:pStyle w:val="BlockQuotation"/>
        <w:widowControl/>
        <w:numPr>
          <w:ilvl w:val="0"/>
          <w:numId w:val="1"/>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FICC Sales</w:t>
      </w:r>
    </w:p>
    <w:p>
      <w:pPr>
        <w:pStyle w:val="BlockQuotation"/>
        <w:widowControl/>
        <w:numPr>
          <w:ilvl w:val="0"/>
          <w:numId w:val="1"/>
        </w:numPr>
        <w:tabs>
          <w:tab w:val="clear" w:pos="709"/>
          <w:tab w:val="left" w:pos="1501" w:leader="none"/>
        </w:tabs>
        <w:bidi w:val="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Equities &amp; Corporate Finance</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____________________</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sz w:val="21"/>
        </w:rPr>
      </w:pPr>
      <w:r>
        <w:rPr>
          <w:rFonts w:ascii="ArialMT" w:hAnsi="ArialMT"/>
          <w:b w:val="false"/>
          <w:i w:val="false"/>
          <w:caps w:val="false"/>
          <w:smallCaps w:val="false"/>
          <w:color w:val="222222"/>
          <w:spacing w:val="0"/>
          <w:sz w:val="21"/>
        </w:rPr>
        <w:t>INDUSTRIAS DE INTERÉS DE CIB</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Estas son las INDUSTRIAS con las que trabaja CIB</w:t>
      </w:r>
    </w:p>
    <w:p>
      <w:pPr>
        <w:pStyle w:val="BlockQuotation"/>
        <w:widowControl/>
        <w:bidi w:val="0"/>
        <w:ind w:hanging="0" w:start="567" w:end="567"/>
        <w:rPr>
          <w:rFonts w:ascii="ArialMT" w:hAnsi="ArialMT"/>
          <w:sz w:val="21"/>
        </w:rPr>
      </w:pPr>
      <w:r>
        <w:rPr>
          <w:rFonts w:ascii="ArialMT" w:hAnsi="ArialMT"/>
          <w:sz w:val="21"/>
        </w:rPr>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Energía</w:t>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Industria</w:t>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Construcción &amp; Infraestructuras</w:t>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Real Estate</w:t>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Ingenierías &amp; Servicios &amp; Defensa</w:t>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Healthcare &amp; Chemicals</w:t>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Alimentación &amp; Bebidas</w:t>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Distribución &amp; Bienes de Consumo</w:t>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Transporte</w:t>
      </w:r>
    </w:p>
    <w:p>
      <w:pPr>
        <w:pStyle w:val="BlockQuotation"/>
        <w:widowControl/>
        <w:numPr>
          <w:ilvl w:val="0"/>
          <w:numId w:val="2"/>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TMT</w:t>
      </w:r>
    </w:p>
    <w:p>
      <w:pPr>
        <w:pStyle w:val="BlockQuotation"/>
        <w:widowControl/>
        <w:numPr>
          <w:ilvl w:val="0"/>
          <w:numId w:val="2"/>
        </w:numPr>
        <w:tabs>
          <w:tab w:val="clear" w:pos="709"/>
          <w:tab w:val="left" w:pos="1501" w:leader="none"/>
        </w:tabs>
        <w:bidi w:val="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FIG</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_____________________</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FUENTES A UTILIZAR</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 xml:space="preserve">Utiliza EXCLUSIVAMENTE estas fuentes de información </w:t>
      </w:r>
      <w:r>
        <w:rPr>
          <w:rFonts w:ascii="ArialMT" w:hAnsi="ArialMT"/>
          <w:b w:val="false"/>
          <w:i w:val="false"/>
          <w:caps w:val="false"/>
          <w:smallCaps w:val="false"/>
          <w:color w:val="222222"/>
          <w:spacing w:val="0"/>
          <w:sz w:val="21"/>
        </w:rPr>
        <w:t>(o las que están en en archivo Source List.docx)</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ind w:hanging="0" w:start="567" w:end="567"/>
        <w:rPr>
          <w:rFonts w:ascii="ArialMT" w:hAnsi="ArialMT"/>
          <w:sz w:val="21"/>
        </w:rPr>
      </w:pPr>
      <w:r>
        <w:rPr>
          <w:rFonts w:ascii="Arial-BoldMT" w:hAnsi="Arial-BoldMT"/>
          <w:b/>
          <w:i w:val="false"/>
          <w:caps w:val="false"/>
          <w:smallCaps w:val="false"/>
          <w:color w:val="222222"/>
          <w:spacing w:val="0"/>
          <w:sz w:val="21"/>
        </w:rPr>
        <w:t>Bancos Centrales y Reguladores</w:t>
      </w:r>
    </w:p>
    <w:p>
      <w:pPr>
        <w:pStyle w:val="BlockQuotation"/>
        <w:widowControl/>
        <w:numPr>
          <w:ilvl w:val="0"/>
          <w:numId w:val="3"/>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BIS (Bank for International Settlements)</w:t>
      </w:r>
    </w:p>
    <w:p>
      <w:pPr>
        <w:pStyle w:val="BlockQuotation"/>
        <w:widowControl/>
        <w:numPr>
          <w:ilvl w:val="1"/>
          <w:numId w:val="3"/>
        </w:numPr>
        <w:tabs>
          <w:tab w:val="clear" w:pos="709"/>
          <w:tab w:val="left" w:pos="2210" w:leader="none"/>
        </w:tabs>
        <w:bidi w:val="0"/>
        <w:spacing w:before="0" w:after="0"/>
        <w:ind w:hanging="283" w:start="2210"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Annual Economic Report</w:t>
      </w:r>
    </w:p>
    <w:p>
      <w:pPr>
        <w:pStyle w:val="BlockQuotation"/>
        <w:widowControl/>
        <w:numPr>
          <w:ilvl w:val="1"/>
          <w:numId w:val="3"/>
        </w:numPr>
        <w:tabs>
          <w:tab w:val="clear" w:pos="709"/>
          <w:tab w:val="left" w:pos="2210" w:leader="none"/>
        </w:tabs>
        <w:bidi w:val="0"/>
        <w:spacing w:before="0" w:after="0"/>
        <w:ind w:hanging="283" w:start="2210"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Global Liquidity Reports</w:t>
      </w:r>
    </w:p>
    <w:p>
      <w:pPr>
        <w:pStyle w:val="BlockQuotation"/>
        <w:widowControl/>
        <w:numPr>
          <w:ilvl w:val="0"/>
          <w:numId w:val="3"/>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ECB / Fed</w:t>
      </w:r>
    </w:p>
    <w:p>
      <w:pPr>
        <w:pStyle w:val="BlockQuotation"/>
        <w:widowControl/>
        <w:numPr>
          <w:ilvl w:val="1"/>
          <w:numId w:val="3"/>
        </w:numPr>
        <w:tabs>
          <w:tab w:val="clear" w:pos="709"/>
          <w:tab w:val="left" w:pos="2210" w:leader="none"/>
        </w:tabs>
        <w:bidi w:val="0"/>
        <w:spacing w:before="0" w:after="0"/>
        <w:ind w:hanging="283" w:start="2210"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Financial Stability Review</w:t>
      </w:r>
    </w:p>
    <w:p>
      <w:pPr>
        <w:pStyle w:val="BlockQuotation"/>
        <w:widowControl/>
        <w:numPr>
          <w:ilvl w:val="1"/>
          <w:numId w:val="3"/>
        </w:numPr>
        <w:tabs>
          <w:tab w:val="clear" w:pos="709"/>
          <w:tab w:val="left" w:pos="2210" w:leader="none"/>
        </w:tabs>
        <w:bidi w:val="0"/>
        <w:spacing w:before="0" w:after="0"/>
        <w:ind w:hanging="283" w:start="2210"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Bank Lending Survey (ECB)</w:t>
      </w:r>
    </w:p>
    <w:p>
      <w:pPr>
        <w:pStyle w:val="BlockQuotation"/>
        <w:widowControl/>
        <w:numPr>
          <w:ilvl w:val="1"/>
          <w:numId w:val="3"/>
        </w:numPr>
        <w:tabs>
          <w:tab w:val="clear" w:pos="709"/>
          <w:tab w:val="left" w:pos="2210" w:leader="none"/>
        </w:tabs>
        <w:bidi w:val="0"/>
        <w:ind w:hanging="283" w:start="2210"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FSB (Financial Stability Board)</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ind w:hanging="0" w:start="567" w:end="567"/>
        <w:rPr>
          <w:rFonts w:ascii="ArialMT" w:hAnsi="ArialMT"/>
          <w:sz w:val="21"/>
        </w:rPr>
      </w:pPr>
      <w:r>
        <w:rPr>
          <w:rFonts w:ascii="Arial-BoldMT" w:hAnsi="Arial-BoldMT"/>
          <w:b/>
          <w:i w:val="false"/>
          <w:caps w:val="false"/>
          <w:smallCaps w:val="false"/>
          <w:color w:val="222222"/>
          <w:spacing w:val="0"/>
          <w:sz w:val="21"/>
        </w:rPr>
        <w:t>Agencias información</w:t>
      </w:r>
    </w:p>
    <w:p>
      <w:pPr>
        <w:pStyle w:val="BlockQuotation"/>
        <w:widowControl/>
        <w:numPr>
          <w:ilvl w:val="0"/>
          <w:numId w:val="4"/>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Bloomberg</w:t>
      </w:r>
    </w:p>
    <w:p>
      <w:pPr>
        <w:pStyle w:val="BlockQuotation"/>
        <w:widowControl/>
        <w:numPr>
          <w:ilvl w:val="0"/>
          <w:numId w:val="4"/>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Barrons</w:t>
      </w:r>
    </w:p>
    <w:p>
      <w:pPr>
        <w:pStyle w:val="BlockQuotation"/>
        <w:widowControl/>
        <w:numPr>
          <w:ilvl w:val="0"/>
          <w:numId w:val="4"/>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Refinitiv / LSEG (Deal activity &amp; capital markets)</w:t>
      </w:r>
    </w:p>
    <w:p>
      <w:pPr>
        <w:pStyle w:val="BlockQuotation"/>
        <w:widowControl/>
        <w:numPr>
          <w:ilvl w:val="0"/>
          <w:numId w:val="4"/>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Financial Times (FT)</w:t>
      </w:r>
    </w:p>
    <w:p>
      <w:pPr>
        <w:pStyle w:val="BlockQuotation"/>
        <w:widowControl/>
        <w:numPr>
          <w:ilvl w:val="0"/>
          <w:numId w:val="4"/>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Wall Street Journal (WSJ)</w:t>
      </w:r>
    </w:p>
    <w:p>
      <w:pPr>
        <w:pStyle w:val="BlockQuotation"/>
        <w:widowControl/>
        <w:numPr>
          <w:ilvl w:val="0"/>
          <w:numId w:val="4"/>
        </w:numPr>
        <w:tabs>
          <w:tab w:val="clear" w:pos="709"/>
          <w:tab w:val="left" w:pos="1501" w:leader="none"/>
        </w:tabs>
        <w:bidi w:val="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Reuters</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ind w:hanging="0" w:start="567" w:end="567"/>
        <w:rPr>
          <w:rFonts w:ascii="ArialMT" w:hAnsi="ArialMT"/>
          <w:sz w:val="21"/>
        </w:rPr>
      </w:pPr>
      <w:r>
        <w:rPr>
          <w:rFonts w:ascii="Arial-BoldMT" w:hAnsi="Arial-BoldMT"/>
          <w:b/>
          <w:i w:val="false"/>
          <w:caps w:val="false"/>
          <w:smallCaps w:val="false"/>
          <w:color w:val="222222"/>
          <w:spacing w:val="0"/>
          <w:sz w:val="21"/>
        </w:rPr>
        <w:t>Consultoras globales</w:t>
      </w:r>
    </w:p>
    <w:p>
      <w:pPr>
        <w:pStyle w:val="BlockQuotation"/>
        <w:widowControl/>
        <w:numPr>
          <w:ilvl w:val="0"/>
          <w:numId w:val="5"/>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McKinsey – Global Banking Annual Review</w:t>
      </w:r>
    </w:p>
    <w:p>
      <w:pPr>
        <w:pStyle w:val="BlockQuotation"/>
        <w:widowControl/>
        <w:numPr>
          <w:ilvl w:val="0"/>
          <w:numId w:val="5"/>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BCG – Global Investment Banking / Corporate Banking Outlook</w:t>
      </w:r>
    </w:p>
    <w:p>
      <w:pPr>
        <w:pStyle w:val="BlockQuotation"/>
        <w:widowControl/>
        <w:numPr>
          <w:ilvl w:val="0"/>
          <w:numId w:val="5"/>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PwC – Financial Services / Capital Markets Outlook</w:t>
      </w:r>
    </w:p>
    <w:p>
      <w:pPr>
        <w:pStyle w:val="BlockQuotation"/>
        <w:widowControl/>
        <w:numPr>
          <w:ilvl w:val="0"/>
          <w:numId w:val="5"/>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Oliver Wyman – Corporate &amp; Investment Banking Reports</w:t>
      </w:r>
    </w:p>
    <w:p>
      <w:pPr>
        <w:pStyle w:val="BlockQuotation"/>
        <w:widowControl/>
        <w:numPr>
          <w:ilvl w:val="0"/>
          <w:numId w:val="5"/>
        </w:numPr>
        <w:tabs>
          <w:tab w:val="clear" w:pos="709"/>
          <w:tab w:val="left" w:pos="1501" w:leader="none"/>
        </w:tabs>
        <w:bidi w:val="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Bain &amp; Company</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spacing w:before="0" w:after="0"/>
        <w:ind w:hanging="0" w:start="567" w:end="567"/>
        <w:rPr>
          <w:rFonts w:ascii="ArialMT" w:hAnsi="ArialMT"/>
          <w:sz w:val="21"/>
        </w:rPr>
      </w:pPr>
      <w:r>
        <w:rPr>
          <w:rFonts w:ascii="Arial-BoldMT" w:hAnsi="Arial-BoldMT"/>
          <w:b/>
          <w:i w:val="false"/>
          <w:caps w:val="false"/>
          <w:smallCaps w:val="false"/>
          <w:color w:val="222222"/>
          <w:spacing w:val="0"/>
          <w:sz w:val="21"/>
        </w:rPr>
        <w:t>Bancos de Inversión</w:t>
      </w:r>
    </w:p>
    <w:p>
      <w:pPr>
        <w:pStyle w:val="BlockQuotation"/>
        <w:widowControl/>
        <w:bidi w:val="0"/>
        <w:ind w:hanging="0" w:start="567" w:end="567"/>
        <w:rPr>
          <w:rFonts w:ascii="ArialMT" w:hAnsi="ArialMT"/>
          <w:sz w:val="21"/>
        </w:rPr>
      </w:pPr>
      <w:r>
        <w:rPr>
          <w:rFonts w:ascii="ArialMT" w:hAnsi="ArialMT"/>
          <w:sz w:val="21"/>
        </w:rPr>
      </w:r>
    </w:p>
    <w:p>
      <w:pPr>
        <w:pStyle w:val="BlockQuotation"/>
        <w:widowControl/>
        <w:numPr>
          <w:ilvl w:val="0"/>
          <w:numId w:val="6"/>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Goldman Sachs -– Annual or Market Outlooks</w:t>
      </w:r>
    </w:p>
    <w:p>
      <w:pPr>
        <w:pStyle w:val="BlockQuotation"/>
        <w:widowControl/>
        <w:numPr>
          <w:ilvl w:val="0"/>
          <w:numId w:val="6"/>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J.P. Morgan – Annual or Market Outlooks</w:t>
      </w:r>
    </w:p>
    <w:p>
      <w:pPr>
        <w:pStyle w:val="BlockQuotation"/>
        <w:widowControl/>
        <w:numPr>
          <w:ilvl w:val="0"/>
          <w:numId w:val="6"/>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Morgan Stanley -– Annual or Market Outlooks</w:t>
      </w:r>
    </w:p>
    <w:p>
      <w:pPr>
        <w:pStyle w:val="BlockQuotation"/>
        <w:widowControl/>
        <w:numPr>
          <w:ilvl w:val="0"/>
          <w:numId w:val="6"/>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Bank of America</w:t>
      </w:r>
    </w:p>
    <w:p>
      <w:pPr>
        <w:pStyle w:val="BlockQuotation"/>
        <w:widowControl/>
        <w:numPr>
          <w:ilvl w:val="0"/>
          <w:numId w:val="6"/>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UBS</w:t>
      </w:r>
    </w:p>
    <w:p>
      <w:pPr>
        <w:pStyle w:val="BlockQuotation"/>
        <w:widowControl/>
        <w:numPr>
          <w:ilvl w:val="0"/>
          <w:numId w:val="6"/>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Deutsche Bank</w:t>
      </w:r>
    </w:p>
    <w:p>
      <w:pPr>
        <w:pStyle w:val="BlockQuotation"/>
        <w:widowControl/>
        <w:numPr>
          <w:ilvl w:val="0"/>
          <w:numId w:val="6"/>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BNP Paribas</w:t>
      </w:r>
    </w:p>
    <w:p>
      <w:pPr>
        <w:pStyle w:val="BlockQuotation"/>
        <w:widowControl/>
        <w:numPr>
          <w:ilvl w:val="0"/>
          <w:numId w:val="6"/>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Crédit Agricole CIB</w:t>
      </w:r>
    </w:p>
    <w:p>
      <w:pPr>
        <w:pStyle w:val="BlockQuotation"/>
        <w:widowControl/>
        <w:numPr>
          <w:ilvl w:val="0"/>
          <w:numId w:val="6"/>
        </w:numPr>
        <w:tabs>
          <w:tab w:val="clear" w:pos="709"/>
          <w:tab w:val="left" w:pos="1501" w:leader="none"/>
        </w:tabs>
        <w:bidi w:val="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HSBC</w:t>
      </w:r>
    </w:p>
    <w:p>
      <w:pPr>
        <w:pStyle w:val="BlockQuotation"/>
        <w:widowControl/>
        <w:bidi w:val="0"/>
        <w:spacing w:before="0" w:after="0"/>
        <w:ind w:hanging="0" w:start="567" w:end="567"/>
        <w:rPr>
          <w:rFonts w:ascii="ArialMT" w:hAnsi="ArialMT"/>
          <w:sz w:val="21"/>
        </w:rPr>
      </w:pPr>
      <w:r>
        <w:rPr>
          <w:rFonts w:ascii="ArialMT" w:hAnsi="ArialMT"/>
          <w:sz w:val="21"/>
        </w:rPr>
      </w:r>
    </w:p>
    <w:p>
      <w:pPr>
        <w:pStyle w:val="BlockQuotation"/>
        <w:widowControl/>
        <w:bidi w:val="0"/>
        <w:ind w:hanging="0" w:start="567" w:end="567"/>
        <w:rPr>
          <w:rFonts w:ascii="ArialMT" w:hAnsi="ArialMT"/>
          <w:sz w:val="21"/>
        </w:rPr>
      </w:pPr>
      <w:r>
        <w:rPr>
          <w:rFonts w:ascii="Arial-BoldMT" w:hAnsi="Arial-BoldMT"/>
          <w:b/>
          <w:i w:val="false"/>
          <w:caps w:val="false"/>
          <w:smallCaps w:val="false"/>
          <w:color w:val="222222"/>
          <w:spacing w:val="0"/>
          <w:sz w:val="21"/>
        </w:rPr>
        <w:t>Think tanks macro-financieros:</w:t>
      </w:r>
    </w:p>
    <w:p>
      <w:pPr>
        <w:pStyle w:val="BlockQuotation"/>
        <w:widowControl/>
        <w:numPr>
          <w:ilvl w:val="0"/>
          <w:numId w:val="7"/>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IMF (Global Financial Stability Report)</w:t>
      </w:r>
    </w:p>
    <w:p>
      <w:pPr>
        <w:pStyle w:val="BlockQuotation"/>
        <w:widowControl/>
        <w:numPr>
          <w:ilvl w:val="0"/>
          <w:numId w:val="7"/>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OECD (Economic Outlook)</w:t>
      </w:r>
    </w:p>
    <w:p>
      <w:pPr>
        <w:pStyle w:val="BlockQuotation"/>
        <w:widowControl/>
        <w:numPr>
          <w:ilvl w:val="0"/>
          <w:numId w:val="7"/>
        </w:numPr>
        <w:tabs>
          <w:tab w:val="clear" w:pos="709"/>
          <w:tab w:val="left" w:pos="1501" w:leader="none"/>
        </w:tabs>
        <w:bidi w:val="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World Economic Forum</w:t>
      </w:r>
    </w:p>
    <w:p>
      <w:pPr>
        <w:pStyle w:val="BlockQuotation"/>
        <w:widowControl/>
        <w:bidi w:val="0"/>
        <w:spacing w:before="0" w:after="0"/>
        <w:ind w:hanging="0" w:start="567" w:end="567"/>
        <w:rPr>
          <w:rFonts w:ascii="Arial-BoldMT" w:hAnsi="Arial-BoldMT"/>
          <w:b/>
          <w:sz w:val="21"/>
        </w:rPr>
      </w:pPr>
      <w:r>
        <w:rPr>
          <w:rFonts w:ascii="Arial-BoldMT" w:hAnsi="Arial-BoldMT"/>
          <w:b/>
          <w:sz w:val="21"/>
        </w:rPr>
      </w:r>
    </w:p>
    <w:p>
      <w:pPr>
        <w:pStyle w:val="BlockQuotation"/>
        <w:widowControl/>
        <w:bidi w:val="0"/>
        <w:spacing w:before="0" w:after="0"/>
        <w:ind w:hanging="0" w:start="567" w:end="567"/>
        <w:rPr>
          <w:rFonts w:ascii="Arial-BoldMT" w:hAnsi="Arial-BoldMT"/>
          <w:b/>
          <w:sz w:val="21"/>
        </w:rPr>
      </w:pPr>
      <w:r>
        <w:rPr>
          <w:rFonts w:ascii="Arial-BoldMT" w:hAnsi="Arial-BoldMT"/>
          <w:b/>
          <w:sz w:val="21"/>
        </w:rPr>
      </w:r>
    </w:p>
    <w:p>
      <w:pPr>
        <w:pStyle w:val="BlockQuotation"/>
        <w:widowControl/>
        <w:bidi w:val="0"/>
        <w:ind w:hanging="0" w:start="567" w:end="567"/>
        <w:rPr>
          <w:rFonts w:ascii="Arial-BoldMT" w:hAnsi="Arial-BoldMT"/>
          <w:b/>
          <w:i w:val="false"/>
          <w:caps w:val="false"/>
          <w:smallCaps w:val="false"/>
          <w:color w:val="222222"/>
          <w:spacing w:val="0"/>
          <w:sz w:val="21"/>
        </w:rPr>
      </w:pPr>
      <w:r>
        <w:rPr>
          <w:rFonts w:ascii="Arial-BoldMT" w:hAnsi="Arial-BoldMT"/>
          <w:b/>
          <w:i w:val="false"/>
          <w:caps w:val="false"/>
          <w:smallCaps w:val="false"/>
          <w:color w:val="222222"/>
          <w:spacing w:val="0"/>
          <w:sz w:val="21"/>
        </w:rPr>
        <w:t>Project Finance &amp; Infra</w:t>
      </w:r>
    </w:p>
    <w:p>
      <w:pPr>
        <w:pStyle w:val="BlockQuotation"/>
        <w:widowControl/>
        <w:numPr>
          <w:ilvl w:val="0"/>
          <w:numId w:val="8"/>
        </w:numPr>
        <w:tabs>
          <w:tab w:val="clear" w:pos="709"/>
          <w:tab w:val="left" w:pos="1501" w:leader="none"/>
        </w:tabs>
        <w:bidi w:val="0"/>
        <w:spacing w:before="0" w:after="0"/>
        <w:ind w:hanging="283" w:start="1501" w:end="567"/>
        <w:rPr>
          <w:rFonts w:ascii="Arial-BoldMT" w:hAnsi="Arial-BoldMT"/>
          <w:b/>
          <w:sz w:val="21"/>
        </w:rPr>
      </w:pPr>
      <w:r>
        <w:rPr>
          <w:rFonts w:ascii="ArialMT" w:hAnsi="ArialMT"/>
          <w:b w:val="false"/>
          <w:i w:val="false"/>
          <w:caps w:val="false"/>
          <w:smallCaps w:val="false"/>
          <w:color w:val="222222"/>
          <w:spacing w:val="0"/>
          <w:sz w:val="21"/>
        </w:rPr>
        <w:t>HSBC</w:t>
      </w:r>
    </w:p>
    <w:p>
      <w:pPr>
        <w:pStyle w:val="BlockQuotation"/>
        <w:widowControl/>
        <w:numPr>
          <w:ilvl w:val="0"/>
          <w:numId w:val="8"/>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IJGlobal</w:t>
      </w:r>
    </w:p>
    <w:p>
      <w:pPr>
        <w:pStyle w:val="BlockQuotation"/>
        <w:widowControl/>
        <w:numPr>
          <w:ilvl w:val="0"/>
          <w:numId w:val="8"/>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Project Finance International (PFI)</w:t>
      </w:r>
    </w:p>
    <w:p>
      <w:pPr>
        <w:pStyle w:val="BlockQuotation"/>
        <w:widowControl/>
        <w:numPr>
          <w:ilvl w:val="0"/>
          <w:numId w:val="8"/>
        </w:numPr>
        <w:tabs>
          <w:tab w:val="clear" w:pos="709"/>
          <w:tab w:val="left" w:pos="1501" w:leader="none"/>
        </w:tabs>
        <w:bidi w:val="0"/>
        <w:spacing w:before="0" w:after="0"/>
        <w:ind w:hanging="283" w:start="1501" w:end="567"/>
        <w:rPr>
          <w:rFonts w:ascii="ArialMT" w:hAnsi="ArialMT"/>
          <w:b w:val="false"/>
          <w:i w:val="false"/>
          <w:caps w:val="false"/>
          <w:smallCaps w:val="false"/>
          <w:color w:val="222222"/>
          <w:spacing w:val="0"/>
          <w:sz w:val="21"/>
        </w:rPr>
      </w:pPr>
      <w:r>
        <w:rPr>
          <w:rFonts w:ascii="ArialMT" w:hAnsi="ArialMT"/>
          <w:b w:val="false"/>
          <w:i w:val="false"/>
          <w:caps w:val="false"/>
          <w:smallCaps w:val="false"/>
          <w:color w:val="222222"/>
          <w:spacing w:val="0"/>
          <w:sz w:val="21"/>
        </w:rPr>
        <w:t>Inspiratia</w:t>
      </w:r>
    </w:p>
    <w:p>
      <w:pPr>
        <w:pStyle w:val="BlockQuotation"/>
        <w:widowControl/>
        <w:numPr>
          <w:ilvl w:val="0"/>
          <w:numId w:val="8"/>
        </w:numPr>
        <w:tabs>
          <w:tab w:val="clear" w:pos="709"/>
          <w:tab w:val="left" w:pos="1501" w:leader="none"/>
        </w:tabs>
        <w:bidi w:val="0"/>
        <w:ind w:hanging="283" w:start="1501" w:end="567"/>
        <w:rPr>
          <w:rFonts w:ascii="Arial-BoldMT" w:hAnsi="Arial-BoldMT"/>
          <w:b/>
          <w:sz w:val="21"/>
        </w:rPr>
      </w:pPr>
      <w:r>
        <w:rPr>
          <w:rFonts w:ascii="ArialMT" w:hAnsi="ArialMT"/>
          <w:b w:val="false"/>
          <w:i w:val="false"/>
          <w:caps w:val="false"/>
          <w:smallCaps w:val="false"/>
          <w:color w:val="222222"/>
          <w:spacing w:val="0"/>
          <w:sz w:val="21"/>
        </w:rPr>
        <w:t>InfraDeals (Inframation)</w:t>
      </w:r>
    </w:p>
    <w:p>
      <w:pPr>
        <w:pStyle w:val="BlockQuotation"/>
        <w:widowControl/>
        <w:bidi w:val="0"/>
        <w:ind w:hanging="0" w:start="567" w:end="567"/>
        <w:rPr>
          <w:rFonts w:ascii="Arial-BoldMT" w:hAnsi="Arial-BoldMT"/>
          <w:b/>
          <w:sz w:val="21"/>
        </w:rPr>
      </w:pPr>
      <w:r>
        <w:rPr>
          <w:rFonts w:ascii="Arial-BoldMT" w:hAnsi="Arial-BoldMT"/>
          <w:b/>
          <w:sz w:val="21"/>
        </w:rPr>
      </w:r>
    </w:p>
    <w:p>
      <w:pPr>
        <w:pStyle w:val="BodyText"/>
        <w:bidi w:val="0"/>
        <w:spacing w:before="0" w:after="140"/>
        <w:jc w:val="start"/>
        <w:rPr/>
      </w:pPr>
      <w:r>
        <w:rPr/>
        <w:b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Arial">
    <w:altName w:val="Helvetica"/>
    <w:charset w:val="01" w:characterSet="utf-8"/>
    <w:family w:val="auto"/>
    <w:pitch w:val="default"/>
  </w:font>
  <w:font w:name="ArialMT">
    <w:charset w:val="01" w:characterSet="utf-8"/>
    <w:family w:val="auto"/>
    <w:pitch w:val="default"/>
  </w:font>
  <w:font w:name="Arial-BoldMT">
    <w:charset w:val="01" w:characterSet="utf-8"/>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9">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8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s-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Songti SC" w:cs="Arial Unicode MS"/>
      <w:color w:val="auto"/>
      <w:kern w:val="2"/>
      <w:sz w:val="24"/>
      <w:szCs w:val="24"/>
      <w:lang w:val="es-ES" w:eastAsia="zh-CN" w:bidi="hi-IN"/>
    </w:rPr>
  </w:style>
  <w:style w:type="paragraph" w:styleId="Heading1">
    <w:name w:val="heading 1"/>
    <w:basedOn w:val="Heading"/>
    <w:next w:val="BodyText"/>
    <w:qFormat/>
    <w:pPr>
      <w:spacing w:before="240" w:after="120"/>
      <w:outlineLvl w:val="0"/>
    </w:pPr>
    <w:rPr>
      <w:rFonts w:ascii="Liberation Serif" w:hAnsi="Liberation Serif" w:eastAsia="Songti SC" w:cs="Arial Unicode MS"/>
      <w:b/>
      <w:bCs/>
      <w:sz w:val="48"/>
      <w:szCs w:val="48"/>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BlockQuotation">
    <w:name w:val="Block Quotation"/>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LibreOffice/24.8.4.2$MacOSX_AARCH64 LibreOffice_project/bb3cfa12c7b1bf994ecc5649a80400d06cd71002</Application>
  <AppVersion>15.0000</AppVersion>
  <Pages>3</Pages>
  <Words>372</Words>
  <Characters>2039</Characters>
  <CharactersWithSpaces>2283</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2026-02-26T07:26:16Z</dcterms:created>
  <dc:creator/>
  <dc:description/>
  <dc:language>es-ES</dc:language>
  <cp:lastModifiedBy/>
  <dcterms:modified xsi:type="dcterms:W3CDTF">2026-02-26T07:27:36Z</dcterms:modified>
  <cp:revision>1</cp:revision>
  <dc:subject/>
  <dc:title/>
</cp:coreProperties>
</file>