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sz w:val="16"/>
          <w:szCs w:val="16"/>
        </w:rP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200"/>
              <w:left w:type="dxa" w:w="200"/>
              <w:bottom w:type="dxa" w:w="200"/>
              <w:right w:type="dxa" w:w="200"/>
            </w:tcMar>
          </w:tcPr>
          <w:p>
            <w:pPr>
              <w:jc w:val="center"/>
            </w:pPr>
            <w:r>
              <w:rPr>
                <w:rFonts w:ascii="Arial" w:cs="Arial" w:eastAsia="Arial" w:hAnsi="Arial"/>
                <w:b/>
                <w:bCs/>
                <w:color w:val="FFFFFF"/>
                <w:sz w:val="24"/>
                <w:szCs w:val="24"/>
              </w:rPr>
              <w:t xml:space="preserve">OPERACIONES DE INVESTMENT BANKING EN ESPAÑA</w:t>
            </w:r>
          </w:p>
          <w:p>
            <w:pPr>
              <w:jc w:val="center"/>
            </w:pPr>
            <w:r>
              <w:rPr>
                <w:rFonts w:ascii="Arial" w:cs="Arial" w:eastAsia="Arial" w:hAnsi="Arial"/>
                <w:color w:val="AACCEE"/>
                <w:sz w:val="16"/>
                <w:szCs w:val="16"/>
              </w:rPr>
              <w:t xml:space="preserve">Grandes Operaciones · Volumen &gt; €200 M · Últimos 6 Meses</w:t>
            </w:r>
          </w:p>
          <w:p>
            <w:pPr>
              <w:jc w:val="center"/>
            </w:pPr>
            <w:r>
              <w:rPr>
                <w:rFonts w:ascii="Arial" w:cs="Arial" w:eastAsia="Arial" w:hAnsi="Arial"/>
                <w:color w:val="AACCEE"/>
                <w:sz w:val="14"/>
                <w:szCs w:val="14"/>
              </w:rPr>
              <w:t xml:space="preserve">Productos: Structured Finance | Asset Finance | Equities &amp; Corporate Finance</w:t>
            </w:r>
          </w:p>
        </w:tc>
      </w:tr>
    </w:tbl>
    <w:p>
      <w:r>
        <w:rPr>
          <w:sz w:val="10"/>
          <w:szCs w:val="10"/>
        </w:rP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single" w:color="C55A11" w:sz="4"/>
              <w:left w:val="none" w:color="FFFFFF" w:sz="0"/>
              <w:bottom w:val="single" w:color="C55A11" w:sz="4"/>
              <w:right w:val="none" w:color="FFFFFF" w:sz="0"/>
            </w:tcBorders>
            <w:shd w:fill="FFF3E0" w:val="clear"/>
            <w:tcMar>
              <w:top w:type="dxa" w:w="80"/>
              <w:left w:type="dxa" w:w="160"/>
              <w:bottom w:type="dxa" w:w="80"/>
              <w:right w:type="dxa" w:w="160"/>
            </w:tcMar>
          </w:tcPr>
          <w:p>
            <w:r>
              <w:rPr>
                <w:rFonts w:ascii="Arial" w:cs="Arial" w:eastAsia="Arial" w:hAnsi="Arial"/>
                <w:i/>
                <w:iCs/>
                <w:color w:val="555555"/>
                <w:sz w:val="14"/>
                <w:szCs w:val="14"/>
              </w:rPr>
              <w:t xml:space="preserve">NOTA METODOLÓGICA: Operaciones publicadas en los últimos 6 meses (agosto 2024 – febrero 2026). Fuentes: Bloomberg, Reuters, BME Exchange, EIB, Financial Times, Fortress Investment Group. Volumen mínimo: €200 M. Mercado: España (operación originada o ejecutada en España).</w:t>
            </w:r>
          </w:p>
        </w:tc>
      </w:tr>
    </w:tbl>
    <w:p>
      <w:r>
        <w:rPr>
          <w:sz w:val="10"/>
          <w:szCs w:val="10"/>
        </w:rP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100"/>
              <w:left w:type="dxa" w:w="160"/>
              <w:bottom w:type="dxa" w:w="100"/>
              <w:right w:type="dxa" w:w="160"/>
            </w:tcMar>
          </w:tcPr>
          <w:p>
            <w:r>
              <w:rPr>
                <w:rFonts w:ascii="Arial" w:cs="Arial" w:eastAsia="Arial" w:hAnsi="Arial"/>
                <w:b/>
                <w:bCs/>
                <w:color w:val="FFFFFF"/>
                <w:sz w:val="20"/>
                <w:szCs w:val="20"/>
              </w:rPr>
              <w:t xml:space="preserve">PRODUCTO: STRUCTURED FINANCE</w:t>
            </w:r>
          </w:p>
        </w:tc>
      </w:tr>
    </w:tbl>
    <w:p>
      <w:r>
        <w:rPr>
          <w:sz w:val="10"/>
          <w:szCs w:val="10"/>
        </w:rP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2E5FA3" w:val="clear"/>
            <w:tcMar>
              <w:top w:type="dxa" w:w="80"/>
              <w:left w:type="dxa" w:w="160"/>
              <w:bottom w:type="dxa" w:w="80"/>
              <w:right w:type="dxa" w:w="160"/>
            </w:tcMar>
          </w:tcPr>
          <w:p>
            <w:r>
              <w:rPr>
                <w:rFonts w:ascii="Arial" w:cs="Arial" w:eastAsia="Arial" w:hAnsi="Arial"/>
                <w:b/>
                <w:bCs/>
                <w:color w:val="FFFFFF"/>
                <w:sz w:val="16"/>
                <w:szCs w:val="16"/>
              </w:rPr>
              <w:t xml:space="preserve">OPERACIÓN 1: Naturgy Energy Group — Préstamo Marco EIB/BEI de €1.000 M para Energías Renovables en España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400"/>
        <w:gridCol w:w="8400"/>
      </w:tblGrid>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Descripción</w:t>
            </w:r>
          </w:p>
        </w:tc>
        <w:tc>
          <w:tcPr>
            <w:tcW w:type="dxa" w:w="8400"/>
            <w:tcBorders>
              <w:top w:val="single" w:color="CCCCCC" w:sz="4"/>
              <w:left w:val="single" w:color="CCCCCC" w:sz="4"/>
              <w:bottom w:val="single" w:color="CCCCCC" w:sz="4"/>
              <w:right w:val="single" w:color="CCCCCC" w:sz="4"/>
            </w:tcBorders>
            <w:shd w:fill="FFFFFF" w:val="clear"/>
            <w:tcMar>
              <w:top w:type="dxa" w:w="60"/>
              <w:left w:type="dxa" w:w="120"/>
              <w:bottom w:type="dxa" w:w="60"/>
              <w:right w:type="dxa" w:w="120"/>
            </w:tcMar>
          </w:tcPr>
          <w:p>
            <w:r>
              <w:rPr>
                <w:rFonts w:ascii="Arial" w:cs="Arial" w:eastAsia="Arial" w:hAnsi="Arial"/>
                <w:sz w:val="16"/>
                <w:szCs w:val="16"/>
              </w:rPr>
              <w:t xml:space="preserve">El Banco Europeo de Inversiones aprobó un préstamo marco de €1.000 millones a Naturgy para financiar la construcción de nuevas plantas solares y eólicas terrestres en España, incluyendo la hibridación de instalaciones existentes. La primera tranche de €400 M fue firmada en noviembre de 2024. El proyecto, orientado a alimentar más de 1,15 millones de hogares, se enmarca en el plan REPowerEU y concentra inversión en regiones de cohesión. Se trata de la operación de structured project finance más grande firmada con un utility español en el periodo.</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Volumen</w:t>
            </w:r>
          </w:p>
        </w:tc>
        <w:tc>
          <w:tcPr>
            <w:tcW w:type="dxa" w:w="8400"/>
            <w:tcBorders>
              <w:top w:val="single" w:color="CCCCCC" w:sz="4"/>
              <w:left w:val="single" w:color="CCCCCC" w:sz="4"/>
              <w:bottom w:val="single" w:color="CCCCCC" w:sz="4"/>
              <w:right w:val="single" w:color="CCCCCC" w:sz="4"/>
            </w:tcBorders>
            <w:shd w:fill="F5F5F5" w:val="clear"/>
            <w:tcMar>
              <w:top w:type="dxa" w:w="60"/>
              <w:left w:type="dxa" w:w="120"/>
              <w:bottom w:type="dxa" w:w="60"/>
              <w:right w:type="dxa" w:w="120"/>
            </w:tcMar>
          </w:tcPr>
          <w:p>
            <w:r>
              <w:rPr>
                <w:rFonts w:ascii="Arial" w:cs="Arial" w:eastAsia="Arial" w:hAnsi="Arial"/>
                <w:sz w:val="16"/>
                <w:szCs w:val="16"/>
              </w:rPr>
              <w:t xml:space="preserve">€ 1.000 M</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Fecha publicación</w:t>
            </w:r>
          </w:p>
        </w:tc>
        <w:tc>
          <w:tcPr>
            <w:tcW w:type="dxa" w:w="8400"/>
            <w:tcBorders>
              <w:top w:val="single" w:color="CCCCCC" w:sz="4"/>
              <w:left w:val="single" w:color="CCCCCC" w:sz="4"/>
              <w:bottom w:val="single" w:color="CCCCCC" w:sz="4"/>
              <w:right w:val="single" w:color="CCCCCC" w:sz="4"/>
            </w:tcBorders>
            <w:shd w:fill="FFFFFF" w:val="clear"/>
            <w:tcMar>
              <w:top w:type="dxa" w:w="60"/>
              <w:left w:type="dxa" w:w="120"/>
              <w:bottom w:type="dxa" w:w="60"/>
              <w:right w:type="dxa" w:w="120"/>
            </w:tcMar>
          </w:tcPr>
          <w:p>
            <w:r>
              <w:rPr>
                <w:rFonts w:ascii="Arial" w:cs="Arial" w:eastAsia="Arial" w:hAnsi="Arial"/>
                <w:sz w:val="16"/>
                <w:szCs w:val="16"/>
              </w:rPr>
              <w:t xml:space="preserve">Noviembre 2024</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Fuente</w:t>
            </w:r>
          </w:p>
        </w:tc>
        <w:tc>
          <w:tcPr>
            <w:tcW w:type="dxa" w:w="8400"/>
            <w:tcBorders>
              <w:top w:val="single" w:color="CCCCCC" w:sz="4"/>
              <w:left w:val="single" w:color="CCCCCC" w:sz="4"/>
              <w:bottom w:val="single" w:color="CCCCCC" w:sz="4"/>
              <w:right w:val="single" w:color="CCCCCC" w:sz="4"/>
            </w:tcBorders>
            <w:shd w:fill="F5F5F5" w:val="clear"/>
            <w:tcMar>
              <w:top w:type="dxa" w:w="60"/>
              <w:left w:type="dxa" w:w="120"/>
              <w:bottom w:type="dxa" w:w="60"/>
              <w:right w:type="dxa" w:w="120"/>
            </w:tcMar>
          </w:tcPr>
          <w:p>
            <w:r>
              <w:rPr>
                <w:rFonts w:ascii="Arial" w:cs="Arial" w:eastAsia="Arial" w:hAnsi="Arial"/>
                <w:sz w:val="16"/>
                <w:szCs w:val="16"/>
              </w:rPr>
              <w:t xml:space="preserve">EIB Press Release, nov. 2024 / Reuters</w:t>
            </w:r>
          </w:p>
        </w:tc>
      </w:tr>
    </w:tbl>
    <w:p>
      <w:r>
        <w:rPr>
          <w:sz w:val="10"/>
          <w:szCs w:val="10"/>
        </w:rP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2E5FA3" w:val="clear"/>
            <w:tcMar>
              <w:top w:type="dxa" w:w="80"/>
              <w:left w:type="dxa" w:w="160"/>
              <w:bottom w:type="dxa" w:w="80"/>
              <w:right w:type="dxa" w:w="160"/>
            </w:tcMar>
          </w:tcPr>
          <w:p>
            <w:r>
              <w:rPr>
                <w:rFonts w:ascii="Arial" w:cs="Arial" w:eastAsia="Arial" w:hAnsi="Arial"/>
                <w:b/>
                <w:bCs/>
                <w:color w:val="FFFFFF"/>
                <w:sz w:val="16"/>
                <w:szCs w:val="16"/>
              </w:rPr>
              <w:t xml:space="preserve">OPERACIÓN 2: Endesa — Financiación Estructurada de €650 M para Digitalización y Refuerzo de Redes de Distribución Eléctricas</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400"/>
        <w:gridCol w:w="8400"/>
      </w:tblGrid>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Descripción</w:t>
            </w:r>
          </w:p>
        </w:tc>
        <w:tc>
          <w:tcPr>
            <w:tcW w:type="dxa" w:w="8400"/>
            <w:tcBorders>
              <w:top w:val="single" w:color="CCCCCC" w:sz="4"/>
              <w:left w:val="single" w:color="CCCCCC" w:sz="4"/>
              <w:bottom w:val="single" w:color="CCCCCC" w:sz="4"/>
              <w:right w:val="single" w:color="CCCCCC" w:sz="4"/>
            </w:tcBorders>
            <w:shd w:fill="FFFFFF" w:val="clear"/>
            <w:tcMar>
              <w:top w:type="dxa" w:w="60"/>
              <w:left w:type="dxa" w:w="120"/>
              <w:bottom w:type="dxa" w:w="60"/>
              <w:right w:type="dxa" w:w="120"/>
            </w:tcMar>
          </w:tcPr>
          <w:p>
            <w:r>
              <w:rPr>
                <w:rFonts w:ascii="Arial" w:cs="Arial" w:eastAsia="Arial" w:hAnsi="Arial"/>
                <w:sz w:val="16"/>
                <w:szCs w:val="16"/>
              </w:rPr>
              <w:t xml:space="preserve">El Ministerio de Economía y el BEI articularon una financiación estructurada de €650 M para Endesa (€500 M vía Fondo de Resiliencia Autonómica con fondos NextGenerationEU + €150 M préstamo directo BEI) destinada a modernizar y digitalizar su red de distribución eléctrica en seis comunidades autónomas durante 2025-2027. La operación es notable por su estructura mixta público-privada, combinando garantías europeas con ejecución bancaria, y fija un precedente en infrastructure finance con capital blended para la transición energética española.</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Volumen</w:t>
            </w:r>
          </w:p>
        </w:tc>
        <w:tc>
          <w:tcPr>
            <w:tcW w:type="dxa" w:w="8400"/>
            <w:tcBorders>
              <w:top w:val="single" w:color="CCCCCC" w:sz="4"/>
              <w:left w:val="single" w:color="CCCCCC" w:sz="4"/>
              <w:bottom w:val="single" w:color="CCCCCC" w:sz="4"/>
              <w:right w:val="single" w:color="CCCCCC" w:sz="4"/>
            </w:tcBorders>
            <w:shd w:fill="F5F5F5" w:val="clear"/>
            <w:tcMar>
              <w:top w:type="dxa" w:w="60"/>
              <w:left w:type="dxa" w:w="120"/>
              <w:bottom w:type="dxa" w:w="60"/>
              <w:right w:type="dxa" w:w="120"/>
            </w:tcMar>
          </w:tcPr>
          <w:p>
            <w:r>
              <w:rPr>
                <w:rFonts w:ascii="Arial" w:cs="Arial" w:eastAsia="Arial" w:hAnsi="Arial"/>
                <w:sz w:val="16"/>
                <w:szCs w:val="16"/>
              </w:rPr>
              <w:t xml:space="preserve">€ 650 M</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Fecha publicación</w:t>
            </w:r>
          </w:p>
        </w:tc>
        <w:tc>
          <w:tcPr>
            <w:tcW w:type="dxa" w:w="8400"/>
            <w:tcBorders>
              <w:top w:val="single" w:color="CCCCCC" w:sz="4"/>
              <w:left w:val="single" w:color="CCCCCC" w:sz="4"/>
              <w:bottom w:val="single" w:color="CCCCCC" w:sz="4"/>
              <w:right w:val="single" w:color="CCCCCC" w:sz="4"/>
            </w:tcBorders>
            <w:shd w:fill="FFFFFF" w:val="clear"/>
            <w:tcMar>
              <w:top w:type="dxa" w:w="60"/>
              <w:left w:type="dxa" w:w="120"/>
              <w:bottom w:type="dxa" w:w="60"/>
              <w:right w:type="dxa" w:w="120"/>
            </w:tcMar>
          </w:tcPr>
          <w:p>
            <w:r>
              <w:rPr>
                <w:rFonts w:ascii="Arial" w:cs="Arial" w:eastAsia="Arial" w:hAnsi="Arial"/>
                <w:sz w:val="16"/>
                <w:szCs w:val="16"/>
              </w:rPr>
              <w:t xml:space="preserve">Septiembre 2025</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Fuente</w:t>
            </w:r>
          </w:p>
        </w:tc>
        <w:tc>
          <w:tcPr>
            <w:tcW w:type="dxa" w:w="8400"/>
            <w:tcBorders>
              <w:top w:val="single" w:color="CCCCCC" w:sz="4"/>
              <w:left w:val="single" w:color="CCCCCC" w:sz="4"/>
              <w:bottom w:val="single" w:color="CCCCCC" w:sz="4"/>
              <w:right w:val="single" w:color="CCCCCC" w:sz="4"/>
            </w:tcBorders>
            <w:shd w:fill="F5F5F5" w:val="clear"/>
            <w:tcMar>
              <w:top w:type="dxa" w:w="60"/>
              <w:left w:type="dxa" w:w="120"/>
              <w:bottom w:type="dxa" w:w="60"/>
              <w:right w:type="dxa" w:w="120"/>
            </w:tcMar>
          </w:tcPr>
          <w:p>
            <w:r>
              <w:rPr>
                <w:rFonts w:ascii="Arial" w:cs="Arial" w:eastAsia="Arial" w:hAnsi="Arial"/>
                <w:sz w:val="16"/>
                <w:szCs w:val="16"/>
              </w:rPr>
              <w:t xml:space="preserve">EIB Press Release, sep. 2025 / Bloomberg</w:t>
            </w:r>
          </w:p>
        </w:tc>
      </w:tr>
    </w:tbl>
    <w:p>
      <w:r>
        <w:rPr>
          <w:sz w:val="10"/>
          <w:szCs w:val="10"/>
        </w:rP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2E5FA3" w:val="clear"/>
            <w:tcMar>
              <w:top w:type="dxa" w:w="80"/>
              <w:left w:type="dxa" w:w="160"/>
              <w:bottom w:type="dxa" w:w="80"/>
              <w:right w:type="dxa" w:w="160"/>
            </w:tcMar>
          </w:tcPr>
          <w:p>
            <w:r>
              <w:rPr>
                <w:rFonts w:ascii="Arial" w:cs="Arial" w:eastAsia="Arial" w:hAnsi="Arial"/>
                <w:b/>
                <w:bCs/>
                <w:color w:val="FFFFFF"/>
                <w:sz w:val="16"/>
                <w:szCs w:val="16"/>
              </w:rPr>
              <w:t xml:space="preserve">OPERACIÓN 3: Iberdrola — ECA-Covered Loan de €500 M con HSBC, Sabadell e ICO, garantizado por CESCE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400"/>
        <w:gridCol w:w="8400"/>
      </w:tblGrid>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Descripción</w:t>
            </w:r>
          </w:p>
        </w:tc>
        <w:tc>
          <w:tcPr>
            <w:tcW w:type="dxa" w:w="8400"/>
            <w:tcBorders>
              <w:top w:val="single" w:color="CCCCCC" w:sz="4"/>
              <w:left w:val="single" w:color="CCCCCC" w:sz="4"/>
              <w:bottom w:val="single" w:color="CCCCCC" w:sz="4"/>
              <w:right w:val="single" w:color="CCCCCC" w:sz="4"/>
            </w:tcBorders>
            <w:shd w:fill="FFFFFF" w:val="clear"/>
            <w:tcMar>
              <w:top w:type="dxa" w:w="60"/>
              <w:left w:type="dxa" w:w="120"/>
              <w:bottom w:type="dxa" w:w="60"/>
              <w:right w:type="dxa" w:w="120"/>
            </w:tcMar>
          </w:tcPr>
          <w:p>
            <w:r>
              <w:rPr>
                <w:rFonts w:ascii="Arial" w:cs="Arial" w:eastAsia="Arial" w:hAnsi="Arial"/>
                <w:sz w:val="16"/>
                <w:szCs w:val="16"/>
              </w:rPr>
              <w:t xml:space="preserve">Iberdrola firmó en julio de 2024 un préstamo structured de €500 M con HSBC, Banco Sabadell e ICO, con cobertura de la Agencia Española de Crédito a la Exportación (CESCE), para financiar activos renovables en EE.UU. y Australia. La estructura combina Export Credit Agency (ECA) coverage con financiación bancaria sindicada, permitiendo a Iberdrola optimizar límites de crédito bancario y acceder a financiación adicional. Es un ejemplo relevante de cross-border asset structured finance originado desde España.</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Volumen</w:t>
            </w:r>
          </w:p>
        </w:tc>
        <w:tc>
          <w:tcPr>
            <w:tcW w:type="dxa" w:w="8400"/>
            <w:tcBorders>
              <w:top w:val="single" w:color="CCCCCC" w:sz="4"/>
              <w:left w:val="single" w:color="CCCCCC" w:sz="4"/>
              <w:bottom w:val="single" w:color="CCCCCC" w:sz="4"/>
              <w:right w:val="single" w:color="CCCCCC" w:sz="4"/>
            </w:tcBorders>
            <w:shd w:fill="F5F5F5" w:val="clear"/>
            <w:tcMar>
              <w:top w:type="dxa" w:w="60"/>
              <w:left w:type="dxa" w:w="120"/>
              <w:bottom w:type="dxa" w:w="60"/>
              <w:right w:type="dxa" w:w="120"/>
            </w:tcMar>
          </w:tcPr>
          <w:p>
            <w:r>
              <w:rPr>
                <w:rFonts w:ascii="Arial" w:cs="Arial" w:eastAsia="Arial" w:hAnsi="Arial"/>
                <w:sz w:val="16"/>
                <w:szCs w:val="16"/>
              </w:rPr>
              <w:t xml:space="preserve">€ 500 M</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Fecha publicación</w:t>
            </w:r>
          </w:p>
        </w:tc>
        <w:tc>
          <w:tcPr>
            <w:tcW w:type="dxa" w:w="8400"/>
            <w:tcBorders>
              <w:top w:val="single" w:color="CCCCCC" w:sz="4"/>
              <w:left w:val="single" w:color="CCCCCC" w:sz="4"/>
              <w:bottom w:val="single" w:color="CCCCCC" w:sz="4"/>
              <w:right w:val="single" w:color="CCCCCC" w:sz="4"/>
            </w:tcBorders>
            <w:shd w:fill="FFFFFF" w:val="clear"/>
            <w:tcMar>
              <w:top w:type="dxa" w:w="60"/>
              <w:left w:type="dxa" w:w="120"/>
              <w:bottom w:type="dxa" w:w="60"/>
              <w:right w:type="dxa" w:w="120"/>
            </w:tcMar>
          </w:tcPr>
          <w:p>
            <w:r>
              <w:rPr>
                <w:rFonts w:ascii="Arial" w:cs="Arial" w:eastAsia="Arial" w:hAnsi="Arial"/>
                <w:sz w:val="16"/>
                <w:szCs w:val="16"/>
              </w:rPr>
              <w:t xml:space="preserve">Julio 2024</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Fuente</w:t>
            </w:r>
          </w:p>
        </w:tc>
        <w:tc>
          <w:tcPr>
            <w:tcW w:type="dxa" w:w="8400"/>
            <w:tcBorders>
              <w:top w:val="single" w:color="CCCCCC" w:sz="4"/>
              <w:left w:val="single" w:color="CCCCCC" w:sz="4"/>
              <w:bottom w:val="single" w:color="CCCCCC" w:sz="4"/>
              <w:right w:val="single" w:color="CCCCCC" w:sz="4"/>
            </w:tcBorders>
            <w:shd w:fill="F5F5F5" w:val="clear"/>
            <w:tcMar>
              <w:top w:type="dxa" w:w="60"/>
              <w:left w:type="dxa" w:w="120"/>
              <w:bottom w:type="dxa" w:w="60"/>
              <w:right w:type="dxa" w:w="120"/>
            </w:tcMar>
          </w:tcPr>
          <w:p>
            <w:r>
              <w:rPr>
                <w:rFonts w:ascii="Arial" w:cs="Arial" w:eastAsia="Arial" w:hAnsi="Arial"/>
                <w:sz w:val="16"/>
                <w:szCs w:val="16"/>
              </w:rPr>
              <w:t xml:space="preserve">Iberdrola Green Financing Returns Report 2024 / Reuters</w:t>
            </w:r>
          </w:p>
        </w:tc>
      </w:tr>
    </w:tbl>
    <w:p>
      <w:r>
        <w:rPr>
          <w:sz w:val="10"/>
          <w:szCs w:val="10"/>
        </w:rPr>
        <w:t xml:space="preserve"/>
      </w:r>
    </w:p>
    <w:p>
      <w:r>
        <w:rPr>
          <w:sz w:val="10"/>
          <w:szCs w:val="10"/>
        </w:rP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100"/>
              <w:left w:type="dxa" w:w="160"/>
              <w:bottom w:type="dxa" w:w="100"/>
              <w:right w:type="dxa" w:w="160"/>
            </w:tcMar>
          </w:tcPr>
          <w:p>
            <w:r>
              <w:rPr>
                <w:rFonts w:ascii="Arial" w:cs="Arial" w:eastAsia="Arial" w:hAnsi="Arial"/>
                <w:b/>
                <w:bCs/>
                <w:color w:val="FFFFFF"/>
                <w:sz w:val="20"/>
                <w:szCs w:val="20"/>
              </w:rPr>
              <w:t xml:space="preserve">PRODUCTO: ASSET FINANCE</w:t>
            </w:r>
          </w:p>
        </w:tc>
      </w:tr>
    </w:tbl>
    <w:p>
      <w:r>
        <w:rPr>
          <w:sz w:val="10"/>
          <w:szCs w:val="10"/>
        </w:rP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2E5FA3" w:val="clear"/>
            <w:tcMar>
              <w:top w:type="dxa" w:w="80"/>
              <w:left w:type="dxa" w:w="160"/>
              <w:bottom w:type="dxa" w:w="80"/>
              <w:right w:type="dxa" w:w="160"/>
            </w:tcMar>
          </w:tcPr>
          <w:p>
            <w:r>
              <w:rPr>
                <w:rFonts w:ascii="Arial" w:cs="Arial" w:eastAsia="Arial" w:hAnsi="Arial"/>
                <w:b/>
                <w:bCs/>
                <w:color w:val="FFFFFF"/>
                <w:sz w:val="16"/>
                <w:szCs w:val="16"/>
              </w:rPr>
              <w:t xml:space="preserve">OPERACIÓN 1: Bravo Debt Solutions — Facility de Asset Finance de €200 M de Fortress Investment Group</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400"/>
        <w:gridCol w:w="8400"/>
      </w:tblGrid>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Descripción</w:t>
            </w:r>
          </w:p>
        </w:tc>
        <w:tc>
          <w:tcPr>
            <w:tcW w:type="dxa" w:w="8400"/>
            <w:tcBorders>
              <w:top w:val="single" w:color="CCCCCC" w:sz="4"/>
              <w:left w:val="single" w:color="CCCCCC" w:sz="4"/>
              <w:bottom w:val="single" w:color="CCCCCC" w:sz="4"/>
              <w:right w:val="single" w:color="CCCCCC" w:sz="4"/>
            </w:tcBorders>
            <w:shd w:fill="FFFFFF" w:val="clear"/>
            <w:tcMar>
              <w:top w:type="dxa" w:w="60"/>
              <w:left w:type="dxa" w:w="120"/>
              <w:bottom w:type="dxa" w:w="60"/>
              <w:right w:type="dxa" w:w="120"/>
            </w:tcMar>
          </w:tcPr>
          <w:p>
            <w:r>
              <w:rPr>
                <w:rFonts w:ascii="Arial" w:cs="Arial" w:eastAsia="Arial" w:hAnsi="Arial"/>
                <w:sz w:val="16"/>
                <w:szCs w:val="16"/>
              </w:rPr>
              <w:t xml:space="preserve">En febrero de 2026, Fortress Investment Group cerró una facility de asset finance de €200 M con Bravo, la mayor plataforma española de gestión y cancelación de deudas, fundada en 2009 y con más de 500.000 operaciones resueltas y una cartera gestionada superior a USD 1.000 M. La operación financia el crecimiento de la división de crédito de Bravo y la expansión de sus operaciones de debt settlement en España. Es uno de los primeros grandes tickets de asset-based finance de un fondo internacional en el mercado español de servicios financieros.</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Volumen</w:t>
            </w:r>
          </w:p>
        </w:tc>
        <w:tc>
          <w:tcPr>
            <w:tcW w:type="dxa" w:w="8400"/>
            <w:tcBorders>
              <w:top w:val="single" w:color="CCCCCC" w:sz="4"/>
              <w:left w:val="single" w:color="CCCCCC" w:sz="4"/>
              <w:bottom w:val="single" w:color="CCCCCC" w:sz="4"/>
              <w:right w:val="single" w:color="CCCCCC" w:sz="4"/>
            </w:tcBorders>
            <w:shd w:fill="F5F5F5" w:val="clear"/>
            <w:tcMar>
              <w:top w:type="dxa" w:w="60"/>
              <w:left w:type="dxa" w:w="120"/>
              <w:bottom w:type="dxa" w:w="60"/>
              <w:right w:type="dxa" w:w="120"/>
            </w:tcMar>
          </w:tcPr>
          <w:p>
            <w:r>
              <w:rPr>
                <w:rFonts w:ascii="Arial" w:cs="Arial" w:eastAsia="Arial" w:hAnsi="Arial"/>
                <w:sz w:val="16"/>
                <w:szCs w:val="16"/>
              </w:rPr>
              <w:t xml:space="preserve">€ 200 M</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Fecha publicación</w:t>
            </w:r>
          </w:p>
        </w:tc>
        <w:tc>
          <w:tcPr>
            <w:tcW w:type="dxa" w:w="8400"/>
            <w:tcBorders>
              <w:top w:val="single" w:color="CCCCCC" w:sz="4"/>
              <w:left w:val="single" w:color="CCCCCC" w:sz="4"/>
              <w:bottom w:val="single" w:color="CCCCCC" w:sz="4"/>
              <w:right w:val="single" w:color="CCCCCC" w:sz="4"/>
            </w:tcBorders>
            <w:shd w:fill="FFFFFF" w:val="clear"/>
            <w:tcMar>
              <w:top w:type="dxa" w:w="60"/>
              <w:left w:type="dxa" w:w="120"/>
              <w:bottom w:type="dxa" w:w="60"/>
              <w:right w:type="dxa" w:w="120"/>
            </w:tcMar>
          </w:tcPr>
          <w:p>
            <w:r>
              <w:rPr>
                <w:rFonts w:ascii="Arial" w:cs="Arial" w:eastAsia="Arial" w:hAnsi="Arial"/>
                <w:sz w:val="16"/>
                <w:szCs w:val="16"/>
              </w:rPr>
              <w:t xml:space="preserve">Febrero 2026</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Fuente</w:t>
            </w:r>
          </w:p>
        </w:tc>
        <w:tc>
          <w:tcPr>
            <w:tcW w:type="dxa" w:w="8400"/>
            <w:tcBorders>
              <w:top w:val="single" w:color="CCCCCC" w:sz="4"/>
              <w:left w:val="single" w:color="CCCCCC" w:sz="4"/>
              <w:bottom w:val="single" w:color="CCCCCC" w:sz="4"/>
              <w:right w:val="single" w:color="CCCCCC" w:sz="4"/>
            </w:tcBorders>
            <w:shd w:fill="F5F5F5" w:val="clear"/>
            <w:tcMar>
              <w:top w:type="dxa" w:w="60"/>
              <w:left w:type="dxa" w:w="120"/>
              <w:bottom w:type="dxa" w:w="60"/>
              <w:right w:type="dxa" w:w="120"/>
            </w:tcMar>
          </w:tcPr>
          <w:p>
            <w:r>
              <w:rPr>
                <w:rFonts w:ascii="Arial" w:cs="Arial" w:eastAsia="Arial" w:hAnsi="Arial"/>
                <w:sz w:val="16"/>
                <w:szCs w:val="16"/>
              </w:rPr>
              <w:t xml:space="preserve">Fortress Investment Group Press Release, feb. 2026</w:t>
            </w:r>
          </w:p>
        </w:tc>
      </w:tr>
    </w:tbl>
    <w:p>
      <w:r>
        <w:rPr>
          <w:sz w:val="10"/>
          <w:szCs w:val="10"/>
        </w:rP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2E5FA3" w:val="clear"/>
            <w:tcMar>
              <w:top w:type="dxa" w:w="80"/>
              <w:left w:type="dxa" w:w="160"/>
              <w:bottom w:type="dxa" w:w="80"/>
              <w:right w:type="dxa" w:w="160"/>
            </w:tcMar>
          </w:tcPr>
          <w:p>
            <w:r>
              <w:rPr>
                <w:rFonts w:ascii="Arial" w:cs="Arial" w:eastAsia="Arial" w:hAnsi="Arial"/>
                <w:b/>
                <w:bCs/>
                <w:color w:val="FFFFFF"/>
                <w:sz w:val="16"/>
                <w:szCs w:val="16"/>
              </w:rPr>
              <w:t xml:space="preserve">OPERACIÓN 2: Endesa / Red de Distribución — Inversión en Activos de Red con Cofinanciación EIB de €150 M (primera tranche €500 M total aprobado)</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400"/>
        <w:gridCol w:w="8400"/>
      </w:tblGrid>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Descripción</w:t>
            </w:r>
          </w:p>
        </w:tc>
        <w:tc>
          <w:tcPr>
            <w:tcW w:type="dxa" w:w="8400"/>
            <w:tcBorders>
              <w:top w:val="single" w:color="CCCCCC" w:sz="4"/>
              <w:left w:val="single" w:color="CCCCCC" w:sz="4"/>
              <w:bottom w:val="single" w:color="CCCCCC" w:sz="4"/>
              <w:right w:val="single" w:color="CCCCCC" w:sz="4"/>
            </w:tcBorders>
            <w:shd w:fill="FFFFFF" w:val="clear"/>
            <w:tcMar>
              <w:top w:type="dxa" w:w="60"/>
              <w:left w:type="dxa" w:w="120"/>
              <w:bottom w:type="dxa" w:w="60"/>
              <w:right w:type="dxa" w:w="120"/>
            </w:tcMar>
          </w:tcPr>
          <w:p>
            <w:r>
              <w:rPr>
                <w:rFonts w:ascii="Arial" w:cs="Arial" w:eastAsia="Arial" w:hAnsi="Arial"/>
                <w:sz w:val="16"/>
                <w:szCs w:val="16"/>
              </w:rPr>
              <w:t xml:space="preserve">Como parte de la operación mayor de digitalización de red (ver Structured Finance), el BEI comprometió un paquete total de €500 M de Asset Finance para la modernización de activos físicos de distribución eléctrica de Endesa: subestaciones, cables subterráneos, transformadores avanzados y contadores inteligentes en regiones de cohesión. La financiación de activos reales se estructura con garantía de los propios activos de red y flujos regulados del sistema eléctrico español, esquema habitual en infraestructura regulada.</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Volumen</w:t>
            </w:r>
          </w:p>
        </w:tc>
        <w:tc>
          <w:tcPr>
            <w:tcW w:type="dxa" w:w="8400"/>
            <w:tcBorders>
              <w:top w:val="single" w:color="CCCCCC" w:sz="4"/>
              <w:left w:val="single" w:color="CCCCCC" w:sz="4"/>
              <w:bottom w:val="single" w:color="CCCCCC" w:sz="4"/>
              <w:right w:val="single" w:color="CCCCCC" w:sz="4"/>
            </w:tcBorders>
            <w:shd w:fill="F5F5F5" w:val="clear"/>
            <w:tcMar>
              <w:top w:type="dxa" w:w="60"/>
              <w:left w:type="dxa" w:w="120"/>
              <w:bottom w:type="dxa" w:w="60"/>
              <w:right w:type="dxa" w:w="120"/>
            </w:tcMar>
          </w:tcPr>
          <w:p>
            <w:r>
              <w:rPr>
                <w:rFonts w:ascii="Arial" w:cs="Arial" w:eastAsia="Arial" w:hAnsi="Arial"/>
                <w:sz w:val="16"/>
                <w:szCs w:val="16"/>
              </w:rPr>
              <w:t xml:space="preserve">€ 500 M (aprobado BEI; €150 M primer tranche)</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Fecha publicación</w:t>
            </w:r>
          </w:p>
        </w:tc>
        <w:tc>
          <w:tcPr>
            <w:tcW w:type="dxa" w:w="8400"/>
            <w:tcBorders>
              <w:top w:val="single" w:color="CCCCCC" w:sz="4"/>
              <w:left w:val="single" w:color="CCCCCC" w:sz="4"/>
              <w:bottom w:val="single" w:color="CCCCCC" w:sz="4"/>
              <w:right w:val="single" w:color="CCCCCC" w:sz="4"/>
            </w:tcBorders>
            <w:shd w:fill="FFFFFF" w:val="clear"/>
            <w:tcMar>
              <w:top w:type="dxa" w:w="60"/>
              <w:left w:type="dxa" w:w="120"/>
              <w:bottom w:type="dxa" w:w="60"/>
              <w:right w:type="dxa" w:w="120"/>
            </w:tcMar>
          </w:tcPr>
          <w:p>
            <w:r>
              <w:rPr>
                <w:rFonts w:ascii="Arial" w:cs="Arial" w:eastAsia="Arial" w:hAnsi="Arial"/>
                <w:sz w:val="16"/>
                <w:szCs w:val="16"/>
              </w:rPr>
              <w:t xml:space="preserve">Septiembre 2025</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Fuente</w:t>
            </w:r>
          </w:p>
        </w:tc>
        <w:tc>
          <w:tcPr>
            <w:tcW w:type="dxa" w:w="8400"/>
            <w:tcBorders>
              <w:top w:val="single" w:color="CCCCCC" w:sz="4"/>
              <w:left w:val="single" w:color="CCCCCC" w:sz="4"/>
              <w:bottom w:val="single" w:color="CCCCCC" w:sz="4"/>
              <w:right w:val="single" w:color="CCCCCC" w:sz="4"/>
            </w:tcBorders>
            <w:shd w:fill="F5F5F5" w:val="clear"/>
            <w:tcMar>
              <w:top w:type="dxa" w:w="60"/>
              <w:left w:type="dxa" w:w="120"/>
              <w:bottom w:type="dxa" w:w="60"/>
              <w:right w:type="dxa" w:w="120"/>
            </w:tcMar>
          </w:tcPr>
          <w:p>
            <w:r>
              <w:rPr>
                <w:rFonts w:ascii="Arial" w:cs="Arial" w:eastAsia="Arial" w:hAnsi="Arial"/>
                <w:sz w:val="16"/>
                <w:szCs w:val="16"/>
              </w:rPr>
              <w:t xml:space="preserve">EIB Press Release, sep. 2025</w:t>
            </w:r>
          </w:p>
        </w:tc>
      </w:tr>
    </w:tbl>
    <w:p>
      <w:r>
        <w:rPr>
          <w:sz w:val="10"/>
          <w:szCs w:val="10"/>
        </w:rP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2E5FA3" w:val="clear"/>
            <w:tcMar>
              <w:top w:type="dxa" w:w="80"/>
              <w:left w:type="dxa" w:w="160"/>
              <w:bottom w:type="dxa" w:w="80"/>
              <w:right w:type="dxa" w:w="160"/>
            </w:tcMar>
          </w:tcPr>
          <w:p>
            <w:r>
              <w:rPr>
                <w:rFonts w:ascii="Arial" w:cs="Arial" w:eastAsia="Arial" w:hAnsi="Arial"/>
                <w:b/>
                <w:bCs/>
                <w:color w:val="FFFFFF"/>
                <w:sz w:val="16"/>
                <w:szCs w:val="16"/>
              </w:rPr>
              <w:t xml:space="preserve">OPERACIÓN 3: Naturgy — Financiación de Activos Renovables: €400 M (primera tranche del préstamo BEI €1.000 M)</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400"/>
        <w:gridCol w:w="8400"/>
      </w:tblGrid>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Descripción</w:t>
            </w:r>
          </w:p>
        </w:tc>
        <w:tc>
          <w:tcPr>
            <w:tcW w:type="dxa" w:w="8400"/>
            <w:tcBorders>
              <w:top w:val="single" w:color="CCCCCC" w:sz="4"/>
              <w:left w:val="single" w:color="CCCCCC" w:sz="4"/>
              <w:bottom w:val="single" w:color="CCCCCC" w:sz="4"/>
              <w:right w:val="single" w:color="CCCCCC" w:sz="4"/>
            </w:tcBorders>
            <w:shd w:fill="FFFFFF" w:val="clear"/>
            <w:tcMar>
              <w:top w:type="dxa" w:w="60"/>
              <w:left w:type="dxa" w:w="120"/>
              <w:bottom w:type="dxa" w:w="60"/>
              <w:right w:type="dxa" w:w="120"/>
            </w:tcMar>
          </w:tcPr>
          <w:p>
            <w:r>
              <w:rPr>
                <w:rFonts w:ascii="Arial" w:cs="Arial" w:eastAsia="Arial" w:hAnsi="Arial"/>
                <w:sz w:val="16"/>
                <w:szCs w:val="16"/>
              </w:rPr>
              <w:t xml:space="preserve">Dentro del marco de préstamo BEI a Naturgy de €1.000 M, la primera tranche de €400 M cerrada en noviembre de 2024 financia activos físicos de generación renovable en España: plantas solares fotovoltaicas y parques eólicos onshore, con hibridación de instalaciones existentes. La estructura de asset finance garantiza el repago con los flujos de generación de los activos y contratos de venta de energía. La operación apoya la inversión en regiones de menor renta per cápita de la UE.</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Volumen</w:t>
            </w:r>
          </w:p>
        </w:tc>
        <w:tc>
          <w:tcPr>
            <w:tcW w:type="dxa" w:w="8400"/>
            <w:tcBorders>
              <w:top w:val="single" w:color="CCCCCC" w:sz="4"/>
              <w:left w:val="single" w:color="CCCCCC" w:sz="4"/>
              <w:bottom w:val="single" w:color="CCCCCC" w:sz="4"/>
              <w:right w:val="single" w:color="CCCCCC" w:sz="4"/>
            </w:tcBorders>
            <w:shd w:fill="F5F5F5" w:val="clear"/>
            <w:tcMar>
              <w:top w:type="dxa" w:w="60"/>
              <w:left w:type="dxa" w:w="120"/>
              <w:bottom w:type="dxa" w:w="60"/>
              <w:right w:type="dxa" w:w="120"/>
            </w:tcMar>
          </w:tcPr>
          <w:p>
            <w:r>
              <w:rPr>
                <w:rFonts w:ascii="Arial" w:cs="Arial" w:eastAsia="Arial" w:hAnsi="Arial"/>
                <w:sz w:val="16"/>
                <w:szCs w:val="16"/>
              </w:rPr>
              <w:t xml:space="preserve">€ 400 M (primera tranche)</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Fecha publicación</w:t>
            </w:r>
          </w:p>
        </w:tc>
        <w:tc>
          <w:tcPr>
            <w:tcW w:type="dxa" w:w="8400"/>
            <w:tcBorders>
              <w:top w:val="single" w:color="CCCCCC" w:sz="4"/>
              <w:left w:val="single" w:color="CCCCCC" w:sz="4"/>
              <w:bottom w:val="single" w:color="CCCCCC" w:sz="4"/>
              <w:right w:val="single" w:color="CCCCCC" w:sz="4"/>
            </w:tcBorders>
            <w:shd w:fill="FFFFFF" w:val="clear"/>
            <w:tcMar>
              <w:top w:type="dxa" w:w="60"/>
              <w:left w:type="dxa" w:w="120"/>
              <w:bottom w:type="dxa" w:w="60"/>
              <w:right w:type="dxa" w:w="120"/>
            </w:tcMar>
          </w:tcPr>
          <w:p>
            <w:r>
              <w:rPr>
                <w:rFonts w:ascii="Arial" w:cs="Arial" w:eastAsia="Arial" w:hAnsi="Arial"/>
                <w:sz w:val="16"/>
                <w:szCs w:val="16"/>
              </w:rPr>
              <w:t xml:space="preserve">Noviembre 2024</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Fuente</w:t>
            </w:r>
          </w:p>
        </w:tc>
        <w:tc>
          <w:tcPr>
            <w:tcW w:type="dxa" w:w="8400"/>
            <w:tcBorders>
              <w:top w:val="single" w:color="CCCCCC" w:sz="4"/>
              <w:left w:val="single" w:color="CCCCCC" w:sz="4"/>
              <w:bottom w:val="single" w:color="CCCCCC" w:sz="4"/>
              <w:right w:val="single" w:color="CCCCCC" w:sz="4"/>
            </w:tcBorders>
            <w:shd w:fill="F5F5F5" w:val="clear"/>
            <w:tcMar>
              <w:top w:type="dxa" w:w="60"/>
              <w:left w:type="dxa" w:w="120"/>
              <w:bottom w:type="dxa" w:w="60"/>
              <w:right w:type="dxa" w:w="120"/>
            </w:tcMar>
          </w:tcPr>
          <w:p>
            <w:r>
              <w:rPr>
                <w:rFonts w:ascii="Arial" w:cs="Arial" w:eastAsia="Arial" w:hAnsi="Arial"/>
                <w:sz w:val="16"/>
                <w:szCs w:val="16"/>
              </w:rPr>
              <w:t xml:space="preserve">EIB Press Release, nov. 2024</w:t>
            </w:r>
          </w:p>
        </w:tc>
      </w:tr>
    </w:tbl>
    <w:p>
      <w:r>
        <w:rPr>
          <w:sz w:val="10"/>
          <w:szCs w:val="10"/>
        </w:rPr>
        <w:t xml:space="preserve"/>
      </w:r>
    </w:p>
    <w:p>
      <w:r>
        <w:rPr>
          <w:sz w:val="10"/>
          <w:szCs w:val="10"/>
        </w:rP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100"/>
              <w:left w:type="dxa" w:w="160"/>
              <w:bottom w:type="dxa" w:w="100"/>
              <w:right w:type="dxa" w:w="160"/>
            </w:tcMar>
          </w:tcPr>
          <w:p>
            <w:r>
              <w:rPr>
                <w:rFonts w:ascii="Arial" w:cs="Arial" w:eastAsia="Arial" w:hAnsi="Arial"/>
                <w:b/>
                <w:bCs/>
                <w:color w:val="FFFFFF"/>
                <w:sz w:val="20"/>
                <w:szCs w:val="20"/>
              </w:rPr>
              <w:t xml:space="preserve">PRODUCTO: EQUITIES &amp; CORPORATE FINANCE</w:t>
            </w:r>
          </w:p>
        </w:tc>
      </w:tr>
    </w:tbl>
    <w:p>
      <w:r>
        <w:rPr>
          <w:sz w:val="10"/>
          <w:szCs w:val="10"/>
        </w:rP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2E5FA3" w:val="clear"/>
            <w:tcMar>
              <w:top w:type="dxa" w:w="80"/>
              <w:left w:type="dxa" w:w="160"/>
              <w:bottom w:type="dxa" w:w="80"/>
              <w:right w:type="dxa" w:w="160"/>
            </w:tcMar>
          </w:tcPr>
          <w:p>
            <w:r>
              <w:rPr>
                <w:rFonts w:ascii="Arial" w:cs="Arial" w:eastAsia="Arial" w:hAnsi="Arial"/>
                <w:b/>
                <w:bCs/>
                <w:color w:val="FFFFFF"/>
                <w:sz w:val="16"/>
                <w:szCs w:val="16"/>
              </w:rPr>
              <w:t xml:space="preserve">OPERACIÓN 1: HBX Group (Hotelbeds) — OPV / IPO en la Bolsa Española: Mayor Debut Europeo de 2025</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400"/>
        <w:gridCol w:w="8400"/>
      </w:tblGrid>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Descripción</w:t>
            </w:r>
          </w:p>
        </w:tc>
        <w:tc>
          <w:tcPr>
            <w:tcW w:type="dxa" w:w="8400"/>
            <w:tcBorders>
              <w:top w:val="single" w:color="CCCCCC" w:sz="4"/>
              <w:left w:val="single" w:color="CCCCCC" w:sz="4"/>
              <w:bottom w:val="single" w:color="CCCCCC" w:sz="4"/>
              <w:right w:val="single" w:color="CCCCCC" w:sz="4"/>
            </w:tcBorders>
            <w:shd w:fill="FFFFFF" w:val="clear"/>
            <w:tcMar>
              <w:top w:type="dxa" w:w="60"/>
              <w:left w:type="dxa" w:w="120"/>
              <w:bottom w:type="dxa" w:w="60"/>
              <w:right w:type="dxa" w:w="120"/>
            </w:tcMar>
          </w:tcPr>
          <w:p>
            <w:r>
              <w:rPr>
                <w:rFonts w:ascii="Arial" w:cs="Arial" w:eastAsia="Arial" w:hAnsi="Arial"/>
                <w:sz w:val="16"/>
                <w:szCs w:val="16"/>
              </w:rPr>
              <w:t xml:space="preserve">HBX Group International, la plataforma B2B de tecnología para el sector turístico propietaria de la marca Hotelbeds, debutó en las cuatro bolsas españolas el 13 de febrero de 2025, convirtiéndose en el mayor IPO europeo del año y la primera empresa con sede en Reino Unido listada en España desde el Brexit. La operación levantó €748 M (con opción greenshoe hasta €860 M), a un precio de €11,50/acción, con una capitalización inicial de ~€2.700 M. Los accionistas vendedores Cinven, EQT y CPP Investments mantuvieron participaciones significativas. Los fondos se destinaron a reducción de deuda y aceleración estratégica.</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Volumen</w:t>
            </w:r>
          </w:p>
        </w:tc>
        <w:tc>
          <w:tcPr>
            <w:tcW w:type="dxa" w:w="8400"/>
            <w:tcBorders>
              <w:top w:val="single" w:color="CCCCCC" w:sz="4"/>
              <w:left w:val="single" w:color="CCCCCC" w:sz="4"/>
              <w:bottom w:val="single" w:color="CCCCCC" w:sz="4"/>
              <w:right w:val="single" w:color="CCCCCC" w:sz="4"/>
            </w:tcBorders>
            <w:shd w:fill="F5F5F5" w:val="clear"/>
            <w:tcMar>
              <w:top w:type="dxa" w:w="60"/>
              <w:left w:type="dxa" w:w="120"/>
              <w:bottom w:type="dxa" w:w="60"/>
              <w:right w:type="dxa" w:w="120"/>
            </w:tcMar>
          </w:tcPr>
          <w:p>
            <w:r>
              <w:rPr>
                <w:rFonts w:ascii="Arial" w:cs="Arial" w:eastAsia="Arial" w:hAnsi="Arial"/>
                <w:sz w:val="16"/>
                <w:szCs w:val="16"/>
              </w:rPr>
              <w:t xml:space="preserve">€ 748 M (hasta €860 M con greenshoe)</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Fecha publicación</w:t>
            </w:r>
          </w:p>
        </w:tc>
        <w:tc>
          <w:tcPr>
            <w:tcW w:type="dxa" w:w="8400"/>
            <w:tcBorders>
              <w:top w:val="single" w:color="CCCCCC" w:sz="4"/>
              <w:left w:val="single" w:color="CCCCCC" w:sz="4"/>
              <w:bottom w:val="single" w:color="CCCCCC" w:sz="4"/>
              <w:right w:val="single" w:color="CCCCCC" w:sz="4"/>
            </w:tcBorders>
            <w:shd w:fill="FFFFFF" w:val="clear"/>
            <w:tcMar>
              <w:top w:type="dxa" w:w="60"/>
              <w:left w:type="dxa" w:w="120"/>
              <w:bottom w:type="dxa" w:w="60"/>
              <w:right w:type="dxa" w:w="120"/>
            </w:tcMar>
          </w:tcPr>
          <w:p>
            <w:r>
              <w:rPr>
                <w:rFonts w:ascii="Arial" w:cs="Arial" w:eastAsia="Arial" w:hAnsi="Arial"/>
                <w:sz w:val="16"/>
                <w:szCs w:val="16"/>
              </w:rPr>
              <w:t xml:space="preserve">Febrero 2025</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Fuente</w:t>
            </w:r>
          </w:p>
        </w:tc>
        <w:tc>
          <w:tcPr>
            <w:tcW w:type="dxa" w:w="8400"/>
            <w:tcBorders>
              <w:top w:val="single" w:color="CCCCCC" w:sz="4"/>
              <w:left w:val="single" w:color="CCCCCC" w:sz="4"/>
              <w:bottom w:val="single" w:color="CCCCCC" w:sz="4"/>
              <w:right w:val="single" w:color="CCCCCC" w:sz="4"/>
            </w:tcBorders>
            <w:shd w:fill="F5F5F5" w:val="clear"/>
            <w:tcMar>
              <w:top w:type="dxa" w:w="60"/>
              <w:left w:type="dxa" w:w="120"/>
              <w:bottom w:type="dxa" w:w="60"/>
              <w:right w:type="dxa" w:w="120"/>
            </w:tcMar>
          </w:tcPr>
          <w:p>
            <w:r>
              <w:rPr>
                <w:rFonts w:ascii="Arial" w:cs="Arial" w:eastAsia="Arial" w:hAnsi="Arial"/>
                <w:sz w:val="16"/>
                <w:szCs w:val="16"/>
              </w:rPr>
              <w:t xml:space="preserve">Reuters, feb. 2025 / Bloomberg, ene. 2025 / BME Exchange</w:t>
            </w:r>
          </w:p>
        </w:tc>
      </w:tr>
    </w:tbl>
    <w:p>
      <w:r>
        <w:rPr>
          <w:sz w:val="10"/>
          <w:szCs w:val="10"/>
        </w:rP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2E5FA3" w:val="clear"/>
            <w:tcMar>
              <w:top w:type="dxa" w:w="80"/>
              <w:left w:type="dxa" w:w="160"/>
              <w:bottom w:type="dxa" w:w="80"/>
              <w:right w:type="dxa" w:w="160"/>
            </w:tcMar>
          </w:tcPr>
          <w:p>
            <w:r>
              <w:rPr>
                <w:rFonts w:ascii="Arial" w:cs="Arial" w:eastAsia="Arial" w:hAnsi="Arial"/>
                <w:b/>
                <w:bCs/>
                <w:color w:val="FFFFFF"/>
                <w:sz w:val="16"/>
                <w:szCs w:val="16"/>
              </w:rPr>
              <w:t xml:space="preserve">OPERACIÓN 2: CIRSA Enterprises (Blackstone) — OPV / IPO en Bolsa Española: Mayor IPO Español en una Década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400"/>
        <w:gridCol w:w="8400"/>
      </w:tblGrid>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Descripción</w:t>
            </w:r>
          </w:p>
        </w:tc>
        <w:tc>
          <w:tcPr>
            <w:tcW w:type="dxa" w:w="8400"/>
            <w:tcBorders>
              <w:top w:val="single" w:color="CCCCCC" w:sz="4"/>
              <w:left w:val="single" w:color="CCCCCC" w:sz="4"/>
              <w:bottom w:val="single" w:color="CCCCCC" w:sz="4"/>
              <w:right w:val="single" w:color="CCCCCC" w:sz="4"/>
            </w:tcBorders>
            <w:shd w:fill="FFFFFF" w:val="clear"/>
            <w:tcMar>
              <w:top w:type="dxa" w:w="60"/>
              <w:left w:type="dxa" w:w="120"/>
              <w:bottom w:type="dxa" w:w="60"/>
              <w:right w:type="dxa" w:w="120"/>
            </w:tcMar>
          </w:tcPr>
          <w:p>
            <w:r>
              <w:rPr>
                <w:rFonts w:ascii="Arial" w:cs="Arial" w:eastAsia="Arial" w:hAnsi="Arial"/>
                <w:sz w:val="16"/>
                <w:szCs w:val="16"/>
              </w:rPr>
              <w:t xml:space="preserve">CIRSA Enterprises, el mayor operador de casinos de España participado por Blackstone, debutó en la Bolsa de Barcelona el 9 de julio de 2025 con una capitalización de €2.520 M y un precio de referencia de €15/acción. La operación captó €400 M de capital primario (26,6 M acciones nuevas) con una opción de ampliación hasta €521 M, siendo el segundo mayor IPO español de 2025. El libro de órdenes estuvo múltiples veces cubierto. CIRSA destinará los fondos a reducción de deuda (ratio de 3,4x EBITDA) y expansión internacional. Bookrunners: BBVA, Jefferies, Mediobanca, Société Générale y UBS.</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Volumen</w:t>
            </w:r>
          </w:p>
        </w:tc>
        <w:tc>
          <w:tcPr>
            <w:tcW w:type="dxa" w:w="8400"/>
            <w:tcBorders>
              <w:top w:val="single" w:color="CCCCCC" w:sz="4"/>
              <w:left w:val="single" w:color="CCCCCC" w:sz="4"/>
              <w:bottom w:val="single" w:color="CCCCCC" w:sz="4"/>
              <w:right w:val="single" w:color="CCCCCC" w:sz="4"/>
            </w:tcBorders>
            <w:shd w:fill="F5F5F5" w:val="clear"/>
            <w:tcMar>
              <w:top w:type="dxa" w:w="60"/>
              <w:left w:type="dxa" w:w="120"/>
              <w:bottom w:type="dxa" w:w="60"/>
              <w:right w:type="dxa" w:w="120"/>
            </w:tcMar>
          </w:tcPr>
          <w:p>
            <w:r>
              <w:rPr>
                <w:rFonts w:ascii="Arial" w:cs="Arial" w:eastAsia="Arial" w:hAnsi="Arial"/>
                <w:sz w:val="16"/>
                <w:szCs w:val="16"/>
              </w:rPr>
              <w:t xml:space="preserve">€ 453 M (hasta €521 M con greenshoe)</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Fecha publicación</w:t>
            </w:r>
          </w:p>
        </w:tc>
        <w:tc>
          <w:tcPr>
            <w:tcW w:type="dxa" w:w="8400"/>
            <w:tcBorders>
              <w:top w:val="single" w:color="CCCCCC" w:sz="4"/>
              <w:left w:val="single" w:color="CCCCCC" w:sz="4"/>
              <w:bottom w:val="single" w:color="CCCCCC" w:sz="4"/>
              <w:right w:val="single" w:color="CCCCCC" w:sz="4"/>
            </w:tcBorders>
            <w:shd w:fill="FFFFFF" w:val="clear"/>
            <w:tcMar>
              <w:top w:type="dxa" w:w="60"/>
              <w:left w:type="dxa" w:w="120"/>
              <w:bottom w:type="dxa" w:w="60"/>
              <w:right w:type="dxa" w:w="120"/>
            </w:tcMar>
          </w:tcPr>
          <w:p>
            <w:r>
              <w:rPr>
                <w:rFonts w:ascii="Arial" w:cs="Arial" w:eastAsia="Arial" w:hAnsi="Arial"/>
                <w:sz w:val="16"/>
                <w:szCs w:val="16"/>
              </w:rPr>
              <w:t xml:space="preserve">Julio 2025</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Fuente</w:t>
            </w:r>
          </w:p>
        </w:tc>
        <w:tc>
          <w:tcPr>
            <w:tcW w:type="dxa" w:w="8400"/>
            <w:tcBorders>
              <w:top w:val="single" w:color="CCCCCC" w:sz="4"/>
              <w:left w:val="single" w:color="CCCCCC" w:sz="4"/>
              <w:bottom w:val="single" w:color="CCCCCC" w:sz="4"/>
              <w:right w:val="single" w:color="CCCCCC" w:sz="4"/>
            </w:tcBorders>
            <w:shd w:fill="F5F5F5" w:val="clear"/>
            <w:tcMar>
              <w:top w:type="dxa" w:w="60"/>
              <w:left w:type="dxa" w:w="120"/>
              <w:bottom w:type="dxa" w:w="60"/>
              <w:right w:type="dxa" w:w="120"/>
            </w:tcMar>
          </w:tcPr>
          <w:p>
            <w:r>
              <w:rPr>
                <w:rFonts w:ascii="Arial" w:cs="Arial" w:eastAsia="Arial" w:hAnsi="Arial"/>
                <w:sz w:val="16"/>
                <w:szCs w:val="16"/>
              </w:rPr>
              <w:t xml:space="preserve">Reuters, jul. 2025 / Bloomberg, jun.-jul. 2025 / BME Exchange</w:t>
            </w:r>
          </w:p>
        </w:tc>
      </w:tr>
    </w:tbl>
    <w:p>
      <w:r>
        <w:rPr>
          <w:sz w:val="10"/>
          <w:szCs w:val="10"/>
        </w:rP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2E5FA3" w:val="clear"/>
            <w:tcMar>
              <w:top w:type="dxa" w:w="80"/>
              <w:left w:type="dxa" w:w="160"/>
              <w:bottom w:type="dxa" w:w="80"/>
              <w:right w:type="dxa" w:w="160"/>
            </w:tcMar>
          </w:tcPr>
          <w:p>
            <w:r>
              <w:rPr>
                <w:rFonts w:ascii="Arial" w:cs="Arial" w:eastAsia="Arial" w:hAnsi="Arial"/>
                <w:b/>
                <w:bCs/>
                <w:color w:val="FFFFFF"/>
                <w:sz w:val="16"/>
                <w:szCs w:val="16"/>
              </w:rPr>
              <w:t xml:space="preserve">OPERACIÓN 3: Tendam Brands (Cortefiel / Springfield / Women'secret) — Adquisición por Multiply Group: Mayor M&amp;A en Retail Español de 2025</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400"/>
        <w:gridCol w:w="8400"/>
      </w:tblGrid>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Descripción</w:t>
            </w:r>
          </w:p>
        </w:tc>
        <w:tc>
          <w:tcPr>
            <w:tcW w:type="dxa" w:w="8400"/>
            <w:tcBorders>
              <w:top w:val="single" w:color="CCCCCC" w:sz="4"/>
              <w:left w:val="single" w:color="CCCCCC" w:sz="4"/>
              <w:bottom w:val="single" w:color="CCCCCC" w:sz="4"/>
              <w:right w:val="single" w:color="CCCCCC" w:sz="4"/>
            </w:tcBorders>
            <w:shd w:fill="FFFFFF" w:val="clear"/>
            <w:tcMar>
              <w:top w:type="dxa" w:w="60"/>
              <w:left w:type="dxa" w:w="120"/>
              <w:bottom w:type="dxa" w:w="60"/>
              <w:right w:type="dxa" w:w="120"/>
            </w:tcMar>
          </w:tcPr>
          <w:p>
            <w:r>
              <w:rPr>
                <w:rFonts w:ascii="Arial" w:cs="Arial" w:eastAsia="Arial" w:hAnsi="Arial"/>
                <w:sz w:val="16"/>
                <w:szCs w:val="16"/>
              </w:rPr>
              <w:t xml:space="preserve">El grupo inversor de Abu Dabi Multiply Group adquirió el 67,91% de Tendam, el segundo mayor grupo textil español por cuota de mercado (marcas Springfield, Cortefiel, Women'secret, Pedro del Hierro), con una valoración de empresa de €1.300 M (AED 5.600 M). CVC y PAI Partners mantienen participaciones minoritarias. La operación cierra en julio de 2025 y supone la primera gran inversión de Multiply en Europa. Tendam registró ventas de €1.400 M y EBITDA de €341 M en los últimos doce meses a junio de 2025. El advisory financiero fue liderado por Greenhill (afiliada de Mizuho).</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Volumen</w:t>
            </w:r>
          </w:p>
        </w:tc>
        <w:tc>
          <w:tcPr>
            <w:tcW w:type="dxa" w:w="8400"/>
            <w:tcBorders>
              <w:top w:val="single" w:color="CCCCCC" w:sz="4"/>
              <w:left w:val="single" w:color="CCCCCC" w:sz="4"/>
              <w:bottom w:val="single" w:color="CCCCCC" w:sz="4"/>
              <w:right w:val="single" w:color="CCCCCC" w:sz="4"/>
            </w:tcBorders>
            <w:shd w:fill="F5F5F5" w:val="clear"/>
            <w:tcMar>
              <w:top w:type="dxa" w:w="60"/>
              <w:left w:type="dxa" w:w="120"/>
              <w:bottom w:type="dxa" w:w="60"/>
              <w:right w:type="dxa" w:w="120"/>
            </w:tcMar>
          </w:tcPr>
          <w:p>
            <w:r>
              <w:rPr>
                <w:rFonts w:ascii="Arial" w:cs="Arial" w:eastAsia="Arial" w:hAnsi="Arial"/>
                <w:sz w:val="16"/>
                <w:szCs w:val="16"/>
              </w:rPr>
              <w:t xml:space="preserve">€ 1.300 M (valor empresa)</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Fecha publicación</w:t>
            </w:r>
          </w:p>
        </w:tc>
        <w:tc>
          <w:tcPr>
            <w:tcW w:type="dxa" w:w="8400"/>
            <w:tcBorders>
              <w:top w:val="single" w:color="CCCCCC" w:sz="4"/>
              <w:left w:val="single" w:color="CCCCCC" w:sz="4"/>
              <w:bottom w:val="single" w:color="CCCCCC" w:sz="4"/>
              <w:right w:val="single" w:color="CCCCCC" w:sz="4"/>
            </w:tcBorders>
            <w:shd w:fill="FFFFFF" w:val="clear"/>
            <w:tcMar>
              <w:top w:type="dxa" w:w="60"/>
              <w:left w:type="dxa" w:w="120"/>
              <w:bottom w:type="dxa" w:w="60"/>
              <w:right w:type="dxa" w:w="120"/>
            </w:tcMar>
          </w:tcPr>
          <w:p>
            <w:r>
              <w:rPr>
                <w:rFonts w:ascii="Arial" w:cs="Arial" w:eastAsia="Arial" w:hAnsi="Arial"/>
                <w:sz w:val="16"/>
                <w:szCs w:val="16"/>
              </w:rPr>
              <w:t xml:space="preserve">Julio 2025</w:t>
            </w:r>
          </w:p>
        </w:tc>
      </w:tr>
      <w:tr>
        <w:tc>
          <w:tcPr>
            <w:tcW w:type="dxa" w:w="2400"/>
            <w:tcBorders>
              <w:top w:val="single" w:color="CCCCCC" w:sz="4"/>
              <w:left w:val="single" w:color="CCCCCC" w:sz="4"/>
              <w:bottom w:val="single" w:color="CCCCCC" w:sz="4"/>
              <w:right w:val="single" w:color="CCCCCC" w:sz="4"/>
            </w:tcBorders>
            <w:shd w:fill="D6E4F0" w:val="clear"/>
            <w:tcMar>
              <w:top w:type="dxa" w:w="60"/>
              <w:left w:type="dxa" w:w="120"/>
              <w:bottom w:type="dxa" w:w="60"/>
              <w:right w:type="dxa" w:w="120"/>
            </w:tcMar>
          </w:tcPr>
          <w:p>
            <w:r>
              <w:rPr>
                <w:rFonts w:ascii="Arial" w:cs="Arial" w:eastAsia="Arial" w:hAnsi="Arial"/>
                <w:b/>
                <w:bCs/>
                <w:sz w:val="16"/>
                <w:szCs w:val="16"/>
              </w:rPr>
              <w:t xml:space="preserve">Fuente</w:t>
            </w:r>
          </w:p>
        </w:tc>
        <w:tc>
          <w:tcPr>
            <w:tcW w:type="dxa" w:w="8400"/>
            <w:tcBorders>
              <w:top w:val="single" w:color="CCCCCC" w:sz="4"/>
              <w:left w:val="single" w:color="CCCCCC" w:sz="4"/>
              <w:bottom w:val="single" w:color="CCCCCC" w:sz="4"/>
              <w:right w:val="single" w:color="CCCCCC" w:sz="4"/>
            </w:tcBorders>
            <w:shd w:fill="F5F5F5" w:val="clear"/>
            <w:tcMar>
              <w:top w:type="dxa" w:w="60"/>
              <w:left w:type="dxa" w:w="120"/>
              <w:bottom w:type="dxa" w:w="60"/>
              <w:right w:type="dxa" w:w="120"/>
            </w:tcMar>
          </w:tcPr>
          <w:p>
            <w:r>
              <w:rPr>
                <w:rFonts w:ascii="Arial" w:cs="Arial" w:eastAsia="Arial" w:hAnsi="Arial"/>
                <w:sz w:val="16"/>
                <w:szCs w:val="16"/>
              </w:rPr>
              <w:t xml:space="preserve">Bloomberg / Reuters / BusinessWire, jul. 2025</w:t>
            </w:r>
          </w:p>
        </w:tc>
      </w:tr>
    </w:tbl>
    <w:p>
      <w:r>
        <w:rPr>
          <w:sz w:val="10"/>
          <w:szCs w:val="10"/>
        </w:rPr>
        <w:t xml:space="preserve"/>
      </w:r>
    </w:p>
    <w:p>
      <w:r>
        <w:rPr>
          <w:sz w:val="10"/>
          <w:szCs w:val="10"/>
        </w:rP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F5F5F5" w:val="clear"/>
            <w:tcMar>
              <w:top w:type="dxa" w:w="80"/>
              <w:left w:type="dxa" w:w="160"/>
              <w:bottom w:type="dxa" w:w="80"/>
              <w:right w:type="dxa" w:w="160"/>
            </w:tcMar>
          </w:tcPr>
          <w:p>
            <w:r>
              <w:rPr>
                <w:rFonts w:ascii="Arial" w:cs="Arial" w:eastAsia="Arial" w:hAnsi="Arial"/>
                <w:i/>
                <w:iCs/>
                <w:color w:val="888888"/>
                <w:sz w:val="12"/>
                <w:szCs w:val="12"/>
              </w:rPr>
              <w:t xml:space="preserve">Fuentes consultadas: Bloomberg, Reuters, EIB Press Releases, BME Exchange / SIX Group, Fortress Investment Group, Financial Times, BusinessWire. Documento de uso interno — CIB. Fecha de elaboración: febrero 2026.</w:t>
            </w:r>
          </w:p>
        </w:tc>
      </w:tr>
    </w:tbl>
    <w:sectPr>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2026-02-23T17:04:58.134Z</dcterms:created>
  <dcterms:modified xsi:type="dcterms:W3CDTF">2026-02-23T17:04:58.135Z</dcterms:modified>
</cp:coreProperties>
</file>

<file path=docProps/custom.xml><?xml version="1.0" encoding="utf-8"?>
<Properties xmlns="http://schemas.openxmlformats.org/officeDocument/2006/custom-properties" xmlns:vt="http://schemas.openxmlformats.org/officeDocument/2006/docPropsVTypes"/>
</file>