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03366" w:color="003366" w:val="solid"/>
        <w:spacing w:after="80" w:before="200" w:line="240" w:lineRule="auto"/>
        <w:jc w:val="center"/>
      </w:pPr>
      <w:r>
        <w:rPr>
          <w:rFonts w:ascii="Arial" w:cs="Arial" w:eastAsia="Arial" w:hAnsi="Arial"/>
          <w:b/>
          <w:bCs/>
          <w:color w:val="FFFFFF"/>
          <w:sz w:val="26"/>
          <w:szCs w:val="26"/>
        </w:rPr>
        <w:t xml:space="preserve">CIB VISION MONOPRODUCTO | STRUCTURED FINANCE | 1Q.2025 – 1Q.2026</w:t>
      </w:r>
    </w:p>
    <w:p>
      <w:pPr>
        <w:shd w:fill="003366" w:color="003366" w:val="solid"/>
        <w:spacing w:after="200" w:before="0" w:line="240" w:lineRule="auto"/>
        <w:jc w:val="center"/>
      </w:pPr>
      <w:r>
        <w:rPr>
          <w:rFonts w:ascii="Arial" w:cs="Arial" w:eastAsia="Arial" w:hAnsi="Arial"/>
          <w:i w:val="false"/>
          <w:iCs w:val="false"/>
          <w:color w:val="FFFFFF"/>
          <w:sz w:val="16"/>
          <w:szCs w:val="16"/>
        </w:rPr>
        <w:t xml:space="preserve">Consejo de Administración CaixaBank · Ámbito: Internacional · Operaciones &gt; €100M</w:t>
      </w:r>
    </w:p>
    <w:p>
      <w:pPr>
        <w:shd w:fill="003366" w:color="003366" w:val="solid"/>
        <w:spacing w:after="200" w:before="0" w:line="240" w:lineRule="auto"/>
        <w:jc w:val="center"/>
      </w:pPr>
      <w:r>
        <w:rPr>
          <w:rFonts w:ascii="Arial" w:cs="Arial" w:eastAsia="Arial" w:hAnsi="Arial"/>
          <w:i/>
          <w:iCs/>
          <w:color w:val="FFFFFF"/>
          <w:sz w:val="16"/>
          <w:szCs w:val="16"/>
        </w:rPr>
        <w:t xml:space="preserve">Consejo de Administración CaixaBank · Ámbito: Internacional (Global) · Operaciones &gt; €100M</w:t>
      </w:r>
    </w:p>
    <w:p>
      <w:pPr>
        <w:shd w:fill="1B5E9E" w:color="1B5E9E" w:val="solid"/>
        <w:spacing w:after="0" w:before="360" w:line="240" w:lineRule="auto"/>
      </w:pPr>
      <w:r>
        <w:rPr>
          <w:rFonts w:ascii="Arial" w:cs="Arial" w:eastAsia="Arial" w:hAnsi="Arial"/>
          <w:b/>
          <w:bCs/>
          <w:color w:val="FFFFFF"/>
          <w:sz w:val="20"/>
          <w:szCs w:val="20"/>
        </w:rPr>
        <w:t xml:space="preserve">01 | DINÁMICAS DE MERCADO — STRUCTURED FINANCE  (1Q.2025 – 1Q.2026)</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tblGrid>
      <w:tr>
        <w:trPr>
          <w:tblHeader/>
        </w:trPr>
        <w:tc>
          <w:tcPr>
            <w:tcW w:type="dxa" w:w="2708"/>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DINÁMICA</w:t>
            </w:r>
          </w:p>
        </w:tc>
        <w:tc>
          <w:tcPr>
            <w:tcW w:type="dxa" w:w="6318"/>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 E IMPLICACIONES PARA CIB</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1. VOLUMEN RÉCORD EN EUROPA — €275BN DE EMISIÓN PREVISTA EN 2025, MÁXIMO POST-GFC</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 emisión europea de activos titulizados alcanzó aproximadamente €275bn en 2025, igualando el máximo histórico post-crisis financiera de 2021, con un crecimiento del +9% interanual en los primeros diez meses del año (AFME Q3 2025). El volumen en circulación (incluyendo CLOs) escaló hasta €1.270,3bn al cierre de Q3 2025, un +6,8% YoY. Para 2026, el consenso de mercado proyecta emisiones de ~€287bn (+4,4% adicional). Las dos palancas de crecimiento fueron: el resurgimiento del mercado de CLOs europeos y la expansión de las titulizaciones sintéticas SRT. Este entorno ofrece a CaixaBank CIB una ventana de actividad en originación y distribución de estructuras en todos los segmentos del mercado europeo.</w:t>
            </w:r>
          </w:p>
        </w:tc>
      </w:tr>
      <w:tr>
        <w:tc>
          <w:tcPr>
            <w:tcW w:type="dxa" w:w="2708"/>
            <w:shd w:fill="EDF2F8" w:color="EDF2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2. EXPLOSIÓN DEL MERCADO SRT — CRECIMIENTO &gt;85% EN 1H.2025 IMPULSADO POR BASILEA IV</w:t>
            </w:r>
          </w:p>
        </w:tc>
        <w:tc>
          <w:tcPr>
            <w:tcW w:type="dxa" w:w="6318"/>
            <w:shd w:fill="EDF2F8" w:color="EDF2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Las titulizaciones de transferencia significativa de riesgo (SRT) registraron un crecimiento superior al 85% en la primera mitad de 2025 frente al mismo periodo de 2024 (AFME / ESRB). En Q2 2025, la emisión SRT europea alcanzó €54,3bn, un aumento del +114,6% respecto a Q1 2025 y del +77,5% YoY. El motor regulatorio es la implementación de los output floors de Basilea IV, que elevan los RWAs de las carteras bancarias y hacen del SRT un instrumento de gestión de capital imprescindible para los bancos europeos significativos (ECB fast-track desde 2025). Desde 2016 a 2024, los bancos europeos representaron más del 50% de las ~650 transacciones globales SRT, con activos de referencia superiores a €1,3 billones. La oportunidad para CaixaBank CIB es clara tanto como originador como inversor en tramos mezzanine.</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3. REVOLUCIÓN REGULATORIA — PAQUETE LEGISLATIVO CE JUNIO 2025 REVITALIZA EL MERCADO</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31 de marzo de 2025, el Comité Conjunto de las ESAs (ESMA/EBA/EIOPA) publicó su evaluación del Reglamento de Titulización europeo (JC 2025/14), con recomendaciones legislativas de calado. En respuesta, el 17 de junio de 2025, la Comisión Europea adoptó un paquete de medidas orientado a revitalizar el mercado: (i) reducción de requisitos de capital para tramos senior de titulizaciones no-STS; (ii) ampliación de la elegibilidad LCR para activos titulizados más allá del rating AAA, aplicando un haircut del 15% a titulizaciones STS 'resilientes'; (iii) eliminación del cap de 5 años sobre la vida media ponderada para elegibilidad de liquidez. Adicionalmente, se proponen ajustes en los criterios STS para facilitar programas ABCP y titulizaciones de PYMEs, y se aclara la interpretación del 'sole purpose test' que había generado disrupción para managers de CLOs europeos. Estas reformas constituyen un catalizador estructural positivo para el mercado en 2026-2027.</w:t>
            </w:r>
          </w:p>
        </w:tc>
      </w:tr>
      <w:tr>
        <w:tc>
          <w:tcPr>
            <w:tcW w:type="dxa" w:w="2708"/>
            <w:shd w:fill="EDF2F8" w:color="EDF2F8"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4. CLO EUROPEO ALCANZA MASA CRÍTICA — TAMAÑO MEDIO DE DEAL SUPERA €431M</w:t>
            </w:r>
          </w:p>
        </w:tc>
        <w:tc>
          <w:tcPr>
            <w:tcW w:type="dxa" w:w="6318"/>
            <w:shd w:fill="EDF2F8" w:color="EDF2F8"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El mercado de CLOs europeos alcanzó ~$290bn en volumen en circulación en 2025, equivalente a un tercio del mercado americano (~$930bn), con un tamaño medio de nuevas emisiones de €431,2M entre enero y noviembre de 2025, con expectativas de convergencia hacia €500M de forma consistente (KopenTech/GlobalCapital). La actividad se vio interrumpida brevemente en abril-mayo por la volatilidad derivada de los aranceles de EE.UU., pero el mercado rebotó con solidez en Q2-Q3. Solo el 23% de la emisión de 2024 fue capital nuevo, siendo el resto resets y refinanciaciones —tendencia que continuó en 2025—. Nuevos entrantes como Royal London Asset Management y Silver Point debutaron con sus primeros CLOs europeos, señal de madurez del mercado. Dos turbulencias regulatorias marcaron 2025: la interpretación del 'sole purpose test' por parte de las ESAs (abril) y las propuestas de Solvencia II que reducirían los requerimientos de capital de aseguradoras en CLOs, previsibles para 2027, lo que ampliaría la base inversora.</w:t>
            </w:r>
          </w:p>
        </w:tc>
      </w:tr>
      <w:tr>
        <w:tc>
          <w:tcPr>
            <w:tcW w:type="dxa" w:w="2708"/>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5. CALIDAD CREDITICIA SÓLIDA — UPGRADES DOMINAN ACCIONES DE RATING EN TODO 2025</w:t>
            </w:r>
          </w:p>
        </w:tc>
        <w:tc>
          <w:tcPr>
            <w:tcW w:type="dxa" w:w="6318"/>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Las acciones de rating sobre estructuras europeas evidenciaron una calidad crediticia robusta a lo largo del periodo: en Q1 2025, los upgrades representaron el 88% del total de acciones de las principales agencias (S&amp;P, Moody's, Fitch), descendiendo al 77-78% en Q2 y Q3 2025 pero manteniéndose como la tendencia dominante (AFME). Las titulizaciones STS representaron el 30,9% del volumen emitido en Q2 2025 (€24,4bn de €78,9bn totales) y el 39,8% en Q3 2025 (€19,2bn de €48,3bn), reflejando el crecimiento progresivo del estándar europeo de calidad. Por geografía de originador, Alemania lidera con ~€62bn de STS públicas en circulación, seguida de Países Bajos (~€55bn), Francia (~€43bn) y España, según datos ESMA a febrero de 2025. La robustez del crédito subyacente y la prevalencia de upgrades respaldan la credibilidad del mercado ante inversores institucionales globales.</w:t>
            </w:r>
          </w:p>
        </w:tc>
      </w:tr>
    </w:tbl>
    <w:p>
      <w:pPr>
        <w:spacing w:after="0" w:before="200"/>
      </w:pPr>
    </w:p>
    <w:p>
      <w:pPr>
        <w:shd w:fill="1B5E9E" w:color="1B5E9E" w:val="solid"/>
        <w:spacing w:after="0" w:before="360" w:line="240" w:lineRule="auto"/>
      </w:pPr>
      <w:r>
        <w:rPr>
          <w:rFonts w:ascii="Arial" w:cs="Arial" w:eastAsia="Arial" w:hAnsi="Arial"/>
          <w:b/>
          <w:bCs/>
          <w:color w:val="FFFFFF"/>
          <w:sz w:val="20"/>
          <w:szCs w:val="20"/>
        </w:rPr>
        <w:t xml:space="preserve">02 | GRANDES OPERACIONES — STRUCTURED FINANCE  &gt;€100M  (1Q.2025 – 1Q.2026)</w:t>
      </w:r>
    </w:p>
    <w:tbl>
      <w:tblPr>
        <w:tblW w:type="dxa" w:w="9026"/>
        <w:tblBorders>
          <w:top w:val="single" w:color="CCCCCC" w:sz="1"/>
          <w:left w:val="single" w:color="CCCCCC" w:sz="1"/>
          <w:bottom w:val="single" w:color="CCCCCC" w:sz="1"/>
          <w:right w:val="single" w:color="CCCCCC" w:sz="1"/>
          <w:insideH w:val="single" w:color="auto" w:sz="4"/>
          <w:insideV w:val="single" w:color="auto" w:sz="4"/>
        </w:tblBorders>
      </w:tblPr>
      <w:tblGrid>
        <w:gridCol w:w="100"/>
        <w:gridCol w:w="100"/>
        <w:gridCol w:w="100"/>
        <w:gridCol w:w="100"/>
      </w:tblGrid>
      <w:tr>
        <w:trPr>
          <w:tblHeader/>
        </w:trPr>
        <w:tc>
          <w:tcPr>
            <w:tcW w:type="dxa" w:w="1986"/>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OPERACIÓN</w:t>
            </w:r>
          </w:p>
        </w:tc>
        <w:tc>
          <w:tcPr>
            <w:tcW w:type="dxa" w:w="4694"/>
            <w:shd w:fill="003366" w:color="003366" w:val="solid"/>
            <w:tcMar>
              <w:top w:type="dxa" w:w="80"/>
              <w:left w:type="dxa" w:w="120"/>
              <w:bottom w:type="dxa" w:w="80"/>
              <w:right w:type="dxa" w:w="120"/>
            </w:tcMar>
          </w:tcPr>
          <w:p>
            <w:pPr>
              <w:spacing w:line="240" w:lineRule="auto"/>
            </w:pPr>
            <w:r>
              <w:rPr>
                <w:rFonts w:ascii="Arial" w:cs="Arial" w:eastAsia="Arial" w:hAnsi="Arial"/>
                <w:b/>
                <w:bCs/>
                <w:i w:val="false"/>
                <w:iCs w:val="false"/>
                <w:color w:val="FFFFFF"/>
                <w:sz w:val="16"/>
                <w:szCs w:val="16"/>
              </w:rPr>
              <w:t xml:space="preserve">DESCRIPCIÓN</w:t>
            </w:r>
          </w:p>
        </w:tc>
        <w:tc>
          <w:tcPr>
            <w:tcW w:type="dxa" w:w="1264"/>
            <w:shd w:fill="003366" w:color="003366"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VOLUMEN</w:t>
            </w:r>
          </w:p>
        </w:tc>
        <w:tc>
          <w:tcPr>
            <w:tcW w:type="dxa" w:w="1082"/>
            <w:shd w:fill="003366" w:color="003366"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FFFFFF"/>
                <w:sz w:val="16"/>
                <w:szCs w:val="16"/>
              </w:rPr>
              <w:t xml:space="preserve">FECHA</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BBVA ESG-LINKED SYNTHETIC SRT — Titulización sintética ESG sobre cartera de €6bn con inversores institucionales nórdicos</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BBVA estructuró una titulización sintética SRT referenciada a una cartera de préstamos corporativos de €6bn con componente ESG, en la que más del 30% del portfolio vincula el coste de capital al desempeño de sostenibilidad de los prestatarios (emisiones, eficiencia hídrica, diversidad de género). Los co-inversores en el tramo mezzanine fueron PGGM (fondo de pensiones neerlandés) y Alecta (fondo de pensiones sueco). La estructura cumple criterios STS europeos y otorga a BBVA un alivio de capital del 79%. La transacción consolidó el liderazgo de BBVA en SRT ESG en Europa y fue referenciada por Structured Credit Investor como benchmark del mercado en 2025.</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€6.000M (cartera de referencia)</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2025 [Verificación pendiente — fecha exacta de cierre no disponible en fuentes consultadas]</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BBVA PROJECT FINANCE SYNTHETIC SRT (PGGM) — Capital relief bilateral sobre cartera de financiación de proyectos</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BBVA cerró una titulización sintética bilateral con PGGM referenciada a una cartera de project finance valorada en €750M, permitiendo a BBVA liberar hasta el 88% del capital regulatorio asociado a dicha cartera. Adicionalmente, BBVA completó dos transacciones SRT sintéticas adicionales con un valor combinado de €3.500M y un SRT en efectivo de €2.350M cerrado a finales de mayo de 2025. Este conjunto de operaciones refleja la estrategia agresiva de optimización de capital de BBVA ante la entrada en vigor de los output floors de Basilea IV y posiciona a la entidad como uno de los originadores SRT más activos de la banca europea.</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€750M (project finance) + €3.500M (sintéticas adicionales) + €2.350M (cash SRT)</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Mayo–2025 [Verificación pendiente — fechas exactas parcialmente confirmadas por Structured Credit Investor]</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NATWEST RENEWABLES SRT — Titulización de transferencia de riesgo sobre cartera de energías renovables de £1,1bn</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NatWest estructuró una operación SRT sobre una cartera de financiación de energías renovables valorada en £1,1bn, galardonada por GlobalCapital como 'SRT Deal of the Year' en los European Securitization Awards 2025. Los inversores incluyeron a Christofferson Robb &amp; Company y Nuveen Infrastructure, con asesoramiento legal de Clifford Chance. La operación es representativa de la tendencia de bancos europeos a combinar capital relief con criterios ESG, monetizando carteras de infraestructura verde sin ceder los activos del balance. El deal estableció un precedente de referencia para SRT sobre activos de transición energética en el mercado europeo.</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£1.100M (~€1.300M)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2024–2025 [Verificación pendiente — fecha exacta de cierre no disponible en fuentes consultadas]</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BLACKSTONE HAVEN PORTFOLIO CMBS — Titulización hipotecaria privada sobre cartera de parques de vacaciones en el Reino Unido</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Blackstone estructuró un CMBS privado de £1,5bn para refinanciar la cartera Haven de parques de vacaciones en el Reino Unido, en una de las transacciones de CMBS más voluminosas del mercado europeo en 2025 (GlobalCapital). El deal marcó el resurgimiento del mercado europeo de CMBS, con inversores institucionales aceptando activos de leisure y hospitality de calidad como colateral. La estructura privada permitió flexibilidad en los términos de documentación y condiciones de amortización, adaptándose al perfil de cash flows estacionales de los activos subyacentes. La transacción fue señalada como catalizador para la reapertura del mercado CMBS europeo a midsize sponsors y activos alternativos.</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£1.500M (~€1.800M)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Agosto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ENPAL GOLDEN RAY 1 — Primera ABS de gran escala sobre activos de energía solar residencial en Europa</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Enpal, proveedor alemán de instalaciones solares residenciales, emitió Golden Ray 1, el primer ABS de referencia sobre activos de solar residencial en Europa, estructurado por Bank of America, Barclays, Citi y Crédit Agricole, con asesoramiento legal de Clifford Chance y Hogan Lovells. La operación fue galardonada como 'ABS Deal of the Year' y el emisor como 'ABS Issuer of the Year' por GlobalCapital European Securitization Awards 2025. El colateral subyacente son contratos de arrendamiento y servicio de sistemas fotovoltaicos en hogares alemanes. La transacción abrió una nueva clase de activo en el mercado europeo de ABS y estableció la plantilla estructural para futuras operaciones de energía limpia residencial.</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[Verificación pendiente — volumen exacto no disponible en fuentes públicas consultadas; estimado &gt;€500M por estructura y panel de bancos]</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2024–2025 (premiada en los European Securitization Awards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KLARNA GERMAN BNPL WAREHOUSE — Facility de almacenamiento sobre receivables BNPL en Alemania</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Klarna estableció un warehouse de €1,4bn para sus receivables de Buy Now Pay Later (BNPL) en Alemania, como fase previa a la titulización pública de dicha cartera. La operación refleja la creciente sofisticación de las plataformas fintech europeas en el acceso a los mercados de capitales estructurados y la tendencia de los inversores institucionales a financiar carteras de crédito al consumo digital vía estructuras de conduit. La cartera de receivables BNPL alemana se caracteriza por tickets cortos y alta rotación, requiriendo estructuras de amortización acelerada y triggers de concentración geográfica y sectorial. El deal fue destacado por GlobalCapital como hito en la titulización de activos digitales de consumo en Europa.</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€1.400M</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Agosto 2025</w:t>
            </w:r>
          </w:p>
        </w:tc>
      </w:tr>
      <w:tr>
        <w:tc>
          <w:tcPr>
            <w:tcW w:type="dxa" w:w="1986"/>
            <w:shd w:fill="FFFFFF" w:color="FFFFFF" w:val="solid"/>
            <w:tcMar>
              <w:top w:type="dxa" w:w="80"/>
              <w:left w:type="dxa" w:w="120"/>
              <w:bottom w:type="dxa" w:w="80"/>
              <w:right w:type="dxa" w:w="120"/>
            </w:tcMar>
          </w:tcPr>
          <w:p>
            <w:pPr>
              <w:spacing w:line="240" w:lineRule="auto"/>
            </w:pPr>
            <w:r>
              <w:rPr>
                <w:rFonts w:ascii="Arial" w:cs="Arial" w:eastAsia="Arial" w:hAnsi="Arial"/>
                <w:b/>
                <w:bCs/>
                <w:i w:val="false"/>
                <w:iCs w:val="false"/>
                <w:color w:val="1A1A1A"/>
                <w:sz w:val="16"/>
                <w:szCs w:val="16"/>
              </w:rPr>
              <w:t xml:space="preserve">BARINGS EURO MIDDLE MARKET CLO 2024-1 — CLO de mercado medio europeo estructurado por Barings y BNP Paribas</w:t>
            </w:r>
          </w:p>
        </w:tc>
        <w:tc>
          <w:tcPr>
            <w:tcW w:type="dxa" w:w="4694"/>
            <w:shd w:fill="FFFFFF" w:color="FFFFFF" w:val="solid"/>
            <w:tcMar>
              <w:top w:type="dxa" w:w="80"/>
              <w:left w:type="dxa" w:w="120"/>
              <w:bottom w:type="dxa" w:w="80"/>
              <w:right w:type="dxa" w:w="120"/>
            </w:tcMar>
          </w:tcPr>
          <w:p>
            <w:pPr>
              <w:spacing w:line="240" w:lineRule="auto"/>
            </w:pPr>
            <w:r>
              <w:rPr>
                <w:rFonts w:ascii="Arial" w:cs="Arial" w:eastAsia="Arial" w:hAnsi="Arial"/>
                <w:b w:val="false"/>
                <w:bCs w:val="false"/>
                <w:i w:val="false"/>
                <w:iCs w:val="false"/>
                <w:color w:val="1A1A1A"/>
                <w:sz w:val="16"/>
                <w:szCs w:val="16"/>
              </w:rPr>
              <w:t xml:space="preserve">Barings y BNP Paribas estructuraron el Barings Euro Middle Market CLO 2024-1, galardonado como 'CLO Deal of the Year' en los GlobalCapital European Securitization Awards 2025, con asesoramiento legal de Cadwalader, Wickersham &amp; Taft y Dechert. La operación se centró en préstamos a empresas del mercado medio europeo (middle market), un segmento históricamente menos líquido que el mercado de préstamos sindicados ampliamente distribuidos (BSL). La estructura introdujo características propias de CLOs privados europeos, con mayor flexibilidad en los criterios de colateral y períodos de reinversión más amplios. El deal marcó una evolución del mercado europeo de CLOs hacia segmentos de mayor rendimiento y menor correlación con los índices BSL tradicionales.</w:t>
            </w:r>
          </w:p>
        </w:tc>
        <w:tc>
          <w:tcPr>
            <w:tcW w:type="dxa" w:w="1264"/>
            <w:shd w:fill="FFFFFF" w:color="FFFFFF" w:val="solid"/>
            <w:tcMar>
              <w:top w:type="dxa" w:w="80"/>
              <w:left w:type="dxa" w:w="120"/>
              <w:bottom w:type="dxa" w:w="80"/>
              <w:right w:type="dxa" w:w="120"/>
            </w:tcMar>
          </w:tcPr>
          <w:p>
            <w:pPr>
              <w:spacing w:line="240" w:lineRule="auto"/>
              <w:jc w:val="center"/>
            </w:pPr>
            <w:r>
              <w:rPr>
                <w:rFonts w:ascii="Arial" w:cs="Arial" w:eastAsia="Arial" w:hAnsi="Arial"/>
                <w:b/>
                <w:bCs/>
                <w:i w:val="false"/>
                <w:iCs w:val="false"/>
                <w:color w:val="1A1A1A"/>
                <w:sz w:val="16"/>
                <w:szCs w:val="16"/>
              </w:rPr>
              <w:t xml:space="preserve">[Verificación pendiente — volumen exacto no confirmado en fuentes públicas consultadas; estimado &gt;€400M por parámetros de mercado medio europeo]</w:t>
            </w:r>
          </w:p>
        </w:tc>
        <w:tc>
          <w:tcPr>
            <w:tcW w:type="dxa" w:w="1082"/>
            <w:shd w:fill="FFFFFF" w:color="FFFFFF" w:val="solid"/>
            <w:tcMar>
              <w:top w:type="dxa" w:w="80"/>
              <w:left w:type="dxa" w:w="120"/>
              <w:bottom w:type="dxa" w:w="80"/>
              <w:right w:type="dxa" w:w="120"/>
            </w:tcMar>
          </w:tcPr>
          <w:p>
            <w:pPr>
              <w:spacing w:line="240" w:lineRule="auto"/>
              <w:jc w:val="center"/>
            </w:pPr>
            <w:r>
              <w:rPr>
                <w:rFonts w:ascii="Arial" w:cs="Arial" w:eastAsia="Arial" w:hAnsi="Arial"/>
                <w:b w:val="false"/>
                <w:bCs w:val="false"/>
                <w:i w:val="false"/>
                <w:iCs w:val="false"/>
                <w:color w:val="1A1A1A"/>
                <w:sz w:val="16"/>
                <w:szCs w:val="16"/>
              </w:rPr>
              <w:t xml:space="preserve">2024 (premiado en European Securitization Awards 2025)</w:t>
            </w:r>
          </w:p>
        </w:tc>
      </w:tr>
    </w:tbl>
    <w:p>
      <w:pPr>
        <w:spacing w:after="0" w:before="200"/>
      </w:pPr>
    </w:p>
    <w:p>
      <w:pPr>
        <w:shd w:fill="EDF2F8" w:color="EDF2F8" w:val="solid"/>
        <w:spacing w:after="40" w:before="400" w:line="240" w:lineRule="auto"/>
      </w:pPr>
      <w:r>
        <w:rPr>
          <w:rFonts w:ascii="Arial" w:cs="Arial" w:eastAsia="Arial" w:hAnsi="Arial"/>
          <w:b/>
          <w:bCs/>
          <w:color w:val="1A1A1A"/>
          <w:sz w:val="14"/>
          <w:szCs w:val="14"/>
        </w:rPr>
        <w:t xml:space="preserve">FUENTES: </w:t>
      </w:r>
      <w:r>
        <w:rPr>
          <w:rFonts w:ascii="Arial" w:cs="Arial" w:eastAsia="Arial" w:hAnsi="Arial"/>
          <w:color w:val="666666"/>
          <w:sz w:val="14"/>
          <w:szCs w:val="14"/>
        </w:rPr>
        <w:t xml:space="preserve">AFME Q1 2025 Securitisation Data Report — https://www.afme.eu/publications/data-research/afme-q1-2025-securitisation-data-report/ · AFME Q2 2025 Securitisation Data Report — https://www.afme.eu/publications/data-research/afme-q2-2025-securitisation-report/ · AFME Q3 2025 Securitisation Data Report — https://www.afme.eu/publications/data-research/afme-q3-2025-securitisation-report/ · AFME Q4 2024 &amp; Full Year 2024 Securitisation Data Report — https://www.afme.eu/publications/data-research/securitisation-data-report-q4-2024-2024-full-year/ · ESMA/EBA/EIOPA Joint Committee Report JC 2025/14 — Functioning of the Securitisation Regulation (March 2025) — https://www.esma.europa.eu/sites/default/files/2025-03/JC_2025_14_Joint_Committee_report_on_the_functionning_of_the_securitisation_regulation.pdf · ESMA Press Release — ESAs publish evaluation report on Securitisation Regulation — https://www.esma.europa.eu/press-news/esma-news/european-supervisory-authorities-publish-evaluation-report-securitisation · EBA Press Release — ESAs publish evaluation report on Securitisation Regulation — https://www.eba.europa.eu/publications-and-media/press-releases/european-supervisory-authorities-publish-evaluation-report-securitisation-regulation · ESRB Occasional Paper — The European SRT Securitisation Market — https://www.esrb.europa.eu/pub/pdf/occasional/esrb.op23~07d5c3eef2.en.pdf · ESRB Speech — Review of the EU Securitisation Framework (October 2025) — https://www.esrb.europa.eu/news/speeches/date/2025/html/ersb.sp251013~029d439147.en.html · KBRA — 2026 European Structured Finance Sector Outlook — https://www.kbra.com/publications/FBBPzmNr · KBRA — Global ABS 2025 Day 1 Recap — https://www.kbra.com/publications/zbCLCScz · GlobalCapital — European ABS on its feet and ready for more in 2026 — https://www.globalcapital.com/article/2fqde5s78nglqb7cnq7lt/securitization/abs-europe/european-abs-on-its-feet-and-ready-for-more-in-2026 · GlobalCapital — European Securitization Awards 2025 — https://www.globalcapital.com/european-securitization-awards-2025 · GlobalCapital — European CLO investors face tiering amid turbulent loan market — https://www.globalcapital.com/article/2fqdgacabe4il1zrtqq68/securitization/european-clo-investors-face-up-to-tiering-amid-turbulent-loan-market · Structured Credit Investor — BBVA expands capital optimisation effort — https://www.structuredcreditinvestor.com/srt-market-update/capital-relief-trades/84127/bbva-expands-capital-optimisation-effort · Structured Credit Investor — Project finance SRT finalised — https://www.structuredcreditinvestor.com/article.asp?SID=83337&amp;article=Project-finance-SRT-finalised · IMF Working Paper WP/25/200 — Synthetic Risk Transfers (October 2025) — https://www.imf.org/-/media/files/publications/wp/2025/english/wpiea2025200-source-pdf.pdf · Hogan Lovells — Following the Basel Brick Road: SRTs in 2025 — https://www.hoganlovells.com/en/publications/following-the-basel-brick-road-significant-risk-transfers-in-2025 · Mayer Brown — Proposed Revisions to the EU Securitisation Framework (June 2025) — https://www.mayerbrown.com/en/insights/publications/2025/06/proposed-revisions-to-the-eu-securitisation-framework · Morgan Lewis — Joint Committee ESAs Report on EU Securitisation Regulation — https://www.morganlewis.com/pubs/2025/04/joint-committee-of-the-european-supervisory-authorities-publishes-report-on-the-eu-securitisation-regulation</w:t>
      </w:r>
    </w:p>
    <w:p>
      <w:pPr>
        <w:shd w:fill="EDF2F8" w:color="EDF2F8" w:val="solid"/>
        <w:spacing w:after="80" w:before="0" w:line="240" w:lineRule="auto"/>
      </w:pPr>
      <w:r>
        <w:rPr>
          <w:rFonts w:ascii="Arial" w:cs="Arial" w:eastAsia="Arial" w:hAnsi="Arial"/>
          <w:i/>
          <w:iCs/>
          <w:color w:val="666666"/>
          <w:sz w:val="14"/>
          <w:szCs w:val="14"/>
        </w:rPr>
        <w:t xml:space="preserve">Documento preparado para uso interno del Consejo de Administración de CaixaBank · CIB — Global Investment Banking · 1Q.2025 – 1Q.2026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2026-03-02T19:10:33.096Z</dcterms:created>
  <dcterms:modified xsi:type="dcterms:W3CDTF">2026-03-02T19:10:33.096Z</dcterms:modified>
</cp:coreProperties>
</file>

<file path=docProps/custom.xml><?xml version="1.0" encoding="utf-8"?>
<Properties xmlns="http://schemas.openxmlformats.org/officeDocument/2006/custom-properties" xmlns:vt="http://schemas.openxmlformats.org/officeDocument/2006/docPropsVTypes"/>
</file>