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003366" w:color="003366" w:val="solid"/>
        <w:spacing w:after="80" w:before="200" w:line="240" w:lineRule="auto"/>
        <w:jc w:val="center"/>
      </w:pPr>
      <w:r>
        <w:rPr>
          <w:rFonts w:ascii="Arial" w:cs="Arial" w:eastAsia="Arial" w:hAnsi="Arial"/>
          <w:b/>
          <w:bCs/>
          <w:color w:val="FFFFFF"/>
          <w:sz w:val="26"/>
          <w:szCs w:val="26"/>
        </w:rPr>
        <w:t xml:space="preserve">CORPORATE &amp; INVESTMENT BANKING</w:t>
      </w:r>
    </w:p>
    <w:p>
      <w:pPr>
        <w:shd w:fill="003366" w:color="003366" w:val="solid"/>
        <w:spacing w:after="200" w:before="0" w:line="240" w:lineRule="auto"/>
        <w:jc w:val="center"/>
      </w:pPr>
      <w:r>
        <w:rPr>
          <w:rFonts w:ascii="Arial" w:cs="Arial" w:eastAsia="Arial" w:hAnsi="Arial"/>
          <w:i w:val="false"/>
          <w:iCs w:val="false"/>
          <w:color w:val="FFFFFF"/>
          <w:sz w:val="16"/>
          <w:szCs w:val="16"/>
        </w:rPr>
        <w:t xml:space="preserve">VISIÓN GENERAL DE PRODUCTOS · MERCADO INTERNACIONAL · 1Q.2025 – 1Q.2026</w:t>
      </w:r>
    </w:p>
    <w:p>
      <w:pPr>
        <w:shd w:fill="003366" w:color="003366" w:val="solid"/>
        <w:spacing w:after="200" w:before="0" w:line="240" w:lineRule="auto"/>
        <w:jc w:val="center"/>
      </w:pPr>
      <w:r>
        <w:rPr>
          <w:rFonts w:ascii="Arial" w:cs="Arial" w:eastAsia="Arial" w:hAnsi="Arial"/>
          <w:i/>
          <w:iCs/>
          <w:color w:val="FFFFFF"/>
          <w:sz w:val="16"/>
          <w:szCs w:val="16"/>
        </w:rPr>
        <w:t xml:space="preserve">Consejo de Administración CaixaBank · Ámbito: Internacional (Global) · Operaciones &gt; €200M</w:t>
      </w:r>
    </w:p>
    <w:p>
      <w:pPr>
        <w:shd w:fill="1B5E9E" w:color="1B5E9E" w:val="solid"/>
        <w:spacing w:after="200" w:before="360" w:line="240" w:lineRule="auto"/>
      </w:pPr>
      <w:r>
        <w:rPr>
          <w:rFonts w:ascii="Arial" w:cs="Arial" w:eastAsia="Arial" w:hAnsi="Arial"/>
          <w:b/>
          <w:bCs/>
          <w:color w:val="FFFFFF"/>
          <w:sz w:val="20"/>
          <w:szCs w:val="20"/>
        </w:rPr>
        <w:t xml:space="preserve">01 | DINÁMICAS DE MERCADO — PRODUCTOS CIB  (1Q.2025 – 1Q.2026)</w:t>
      </w:r>
    </w:p>
    <w:p>
      <w:pPr>
        <w:spacing w:after="60" w:before="240" w:line="240" w:lineRule="auto"/>
      </w:pPr>
      <w:r>
        <w:rPr>
          <w:rFonts w:ascii="Arial" w:cs="Arial" w:eastAsia="Arial" w:hAnsi="Arial"/>
          <w:b/>
          <w:bCs/>
          <w:color w:val="2471A3"/>
          <w:sz w:val="20"/>
          <w:szCs w:val="20"/>
        </w:rPr>
        <w:t xml:space="preserve">01  </w:t>
      </w:r>
      <w:r>
        <w:rPr>
          <w:rFonts w:ascii="Arial" w:cs="Arial" w:eastAsia="Arial" w:hAnsi="Arial"/>
          <w:b/>
          <w:bCs/>
          <w:i/>
          <w:iCs/>
          <w:color w:val="003366"/>
          <w:sz w:val="18"/>
          <w:szCs w:val="18"/>
        </w:rPr>
        <w:t xml:space="preserve">RECUPERACIÓN IB IMPULSADA POR MEGAOPERACIONES Y M&amp;A</w:t>
      </w:r>
    </w:p>
    <w:p>
      <w:pPr>
        <w:spacing w:after="40" w:before="0" w:line="240" w:lineRule="auto"/>
      </w:pPr>
      <w:r>
        <w:rPr>
          <w:rFonts w:ascii="Arial" w:cs="Arial" w:eastAsia="Arial" w:hAnsi="Arial"/>
          <w:color w:val="1A1A1A"/>
          <w:sz w:val="16"/>
          <w:szCs w:val="16"/>
        </w:rPr>
        <w:t xml:space="preserve">Los ingresos globales de CIB alcanzaron $3,0 billones en 2024, con un crecimiento interanual del 4,4%, y el pool de Originación &amp; Advisory creció un 32% interanual hasta $94.000M en el año completo, mientras que en H1 2025 se mantuvo estable en $53.000M (+0,5% interanual). El resurgimiento de las megaoperaciones —11 transacciones superiores a $30.000M en 2025, frente a siete en 2024— y el fuerte pipeline de M&amp;A de sponsors financieros con dry powder récord constituyen los principales vectores del ciclo. Los ingresos de M&amp;A crecieron un 9% interanual hasta $14.600M en H1 2025, con las fees de TMT un 50% por encima del año anterior. El ROE sectorial superó el 13%, por encima del coste de capital, aunque persiste una brecha estructural entre los primeros y últimos cuartiles. Para 2026, BCG prevé que los pools de ingresos de CIB continúen expandiéndose, con el pipeline de M&amp;A y la actividad de salidas de sponsors como principales catalizadores.</w:t>
      </w:r>
    </w:p>
    <w:p>
      <w:pPr>
        <w:spacing w:after="120" w:before="0" w:line="240" w:lineRule="auto"/>
      </w:pPr>
      <w:r>
        <w:rPr>
          <w:rFonts w:ascii="Arial" w:cs="Arial" w:eastAsia="Arial" w:hAnsi="Arial"/>
          <w:b/>
          <w:bCs/>
          <w:i/>
          <w:iCs/>
          <w:color w:val="929292"/>
          <w:sz w:val="16"/>
          <w:szCs w:val="16"/>
        </w:rPr>
        <w:t xml:space="preserve">Fuente: </w:t>
      </w:r>
      <w:r>
        <w:rPr>
          <w:rFonts w:ascii="Arial" w:cs="Arial" w:eastAsia="Arial" w:hAnsi="Arial"/>
          <w:i/>
          <w:iCs/>
          <w:color w:val="929292"/>
          <w:sz w:val="16"/>
          <w:szCs w:val="16"/>
        </w:rPr>
        <w:t xml:space="preserve">BCG Capital Markets &amp; Investment Banking Update H1 2025; McKinsey Global Banking Annual Review 2025</w:t>
      </w:r>
    </w:p>
    <w:p>
      <w:pPr>
        <w:spacing w:after="60" w:before="240" w:line="240" w:lineRule="auto"/>
      </w:pPr>
      <w:r>
        <w:rPr>
          <w:rFonts w:ascii="Arial" w:cs="Arial" w:eastAsia="Arial" w:hAnsi="Arial"/>
          <w:b/>
          <w:bCs/>
          <w:color w:val="2471A3"/>
          <w:sz w:val="20"/>
          <w:szCs w:val="20"/>
        </w:rPr>
        <w:t xml:space="preserve">02  </w:t>
      </w:r>
      <w:r>
        <w:rPr>
          <w:rFonts w:ascii="Arial" w:cs="Arial" w:eastAsia="Arial" w:hAnsi="Arial"/>
          <w:b/>
          <w:bCs/>
          <w:i/>
          <w:iCs/>
          <w:color w:val="003366"/>
          <w:sz w:val="18"/>
          <w:szCs w:val="18"/>
        </w:rPr>
        <w:t xml:space="preserve">DCM RESILIENTE PESE A NORMALIZACIÓN DE SPREADS Y TIPOS</w:t>
      </w:r>
    </w:p>
    <w:p>
      <w:pPr>
        <w:spacing w:after="40" w:before="0" w:line="240" w:lineRule="auto"/>
      </w:pPr>
      <w:r>
        <w:rPr>
          <w:rFonts w:ascii="Arial" w:cs="Arial" w:eastAsia="Arial" w:hAnsi="Arial"/>
          <w:color w:val="1A1A1A"/>
          <w:sz w:val="16"/>
          <w:szCs w:val="16"/>
        </w:rPr>
        <w:t xml:space="preserve">El pool de ingresos de DCM (incluyendo préstamos sindicados) descendió levemente un 2% interanual en H1 2025 hasta $29.900M, tras un crecimiento excepcional del 39% interanual en 2024 ($36.000M a $50.000M), impulsado entonces por el ciclo de refinanciación anticipada ante el muro de vencimientos. La emisión investment-grade global se mantuvo resiliente, con Natixis CIB estimando un incremento del ~8% en la emisión IG europea para 2025 hasta EUR 340-350.000M, con sectores líderes en Automóviles, Industria, Utilities y REITs. La issuance de leveraged finance global alcanzó $1,3 billones en 2025, un 45% interanual, respaldada por la reapertura de los mercados de crédito y la diversificación de fuentes de financiación. El mercado de convertibles experimentó un alza del 26% interanual en fees, manteniendo su popularidad entre corporates que optimizan el coste de la deuda. La demanda de bonos verdes y digitales soberanos —como el primer bono digital soberano de la eurozona estructurado por BNP Paribas para Eslovenia— anticipa la consolidación del segmento ESG y la tokenización en DCM.</w:t>
      </w:r>
    </w:p>
    <w:p>
      <w:pPr>
        <w:spacing w:after="120" w:before="0" w:line="240" w:lineRule="auto"/>
      </w:pPr>
      <w:r>
        <w:rPr>
          <w:rFonts w:ascii="Arial" w:cs="Arial" w:eastAsia="Arial" w:hAnsi="Arial"/>
          <w:b/>
          <w:bCs/>
          <w:i/>
          <w:iCs/>
          <w:color w:val="929292"/>
          <w:sz w:val="16"/>
          <w:szCs w:val="16"/>
        </w:rPr>
        <w:t xml:space="preserve">Fuente: </w:t>
      </w:r>
      <w:r>
        <w:rPr>
          <w:rFonts w:ascii="Arial" w:cs="Arial" w:eastAsia="Arial" w:hAnsi="Arial"/>
          <w:i/>
          <w:iCs/>
          <w:color w:val="929292"/>
          <w:sz w:val="16"/>
          <w:szCs w:val="16"/>
        </w:rPr>
        <w:t xml:space="preserve">BCG Capital Markets &amp; Investment Banking Update H1 2025; Natixis CIB DCM 2025 Outlook; BNP Paribas</w:t>
      </w:r>
    </w:p>
    <w:p>
      <w:pPr>
        <w:spacing w:after="60" w:before="240" w:line="240" w:lineRule="auto"/>
      </w:pPr>
      <w:r>
        <w:rPr>
          <w:rFonts w:ascii="Arial" w:cs="Arial" w:eastAsia="Arial" w:hAnsi="Arial"/>
          <w:b/>
          <w:bCs/>
          <w:color w:val="2471A3"/>
          <w:sz w:val="20"/>
          <w:szCs w:val="20"/>
        </w:rPr>
        <w:t xml:space="preserve">03  </w:t>
      </w:r>
      <w:r>
        <w:rPr>
          <w:rFonts w:ascii="Arial" w:cs="Arial" w:eastAsia="Arial" w:hAnsi="Arial"/>
          <w:b/>
          <w:bCs/>
          <w:i/>
          <w:iCs/>
          <w:color w:val="003366"/>
          <w:sz w:val="18"/>
          <w:szCs w:val="18"/>
        </w:rPr>
        <w:t xml:space="preserve">EQUITIES Y FICC EN MÁXIMOS DE DÉCADA POR VOLATILIDAD</w:t>
      </w:r>
    </w:p>
    <w:p>
      <w:pPr>
        <w:spacing w:after="40" w:before="0" w:line="240" w:lineRule="auto"/>
      </w:pPr>
      <w:r>
        <w:rPr>
          <w:rFonts w:ascii="Arial" w:cs="Arial" w:eastAsia="Arial" w:hAnsi="Arial"/>
          <w:color w:val="1A1A1A"/>
          <w:sz w:val="16"/>
          <w:szCs w:val="16"/>
        </w:rPr>
        <w:t xml:space="preserve">El pool de ingresos de Equities creció un 21% interanual en H1 2025 hasta $52.000M, máximo de la década, impulsado por la elevada volatilidad de mercado y el fuerte reposicionamiento de clientes institucionales. En el segmento ECM, los ingresos retrocedieron un 4% interanual en H1 2025 hasta $8.800M por la estrechez de las ventanas de emisión, aunque las IPOs se mantuvieron estables y la actividad global de IPOs creció un 62% interanual hasta Q3 2025. FICC totalizó $160.000M en 2024 (+1% interanual), con G10 Rates a la baja (−15% interanual, $34.000M) por la estabilización de tipos, pero compensado por G10 FX (+21% interanual, $15.700M) y Crédito (+19% interanual, $31.000M). BCG proyecta un crecimiento adicional del ~10% en Equities para 2025, con FICC en Spread Products como vector diferencial. La volatilidad geopolítica y arancelaria de abril 2025 generó dislocaciones que los desks de market-making de primer nivel convirtieron en oportunidad de ingresos extraordinaria.</w:t>
      </w:r>
    </w:p>
    <w:p>
      <w:pPr>
        <w:spacing w:after="120" w:before="0" w:line="240" w:lineRule="auto"/>
      </w:pPr>
      <w:r>
        <w:rPr>
          <w:rFonts w:ascii="Arial" w:cs="Arial" w:eastAsia="Arial" w:hAnsi="Arial"/>
          <w:b/>
          <w:bCs/>
          <w:i/>
          <w:iCs/>
          <w:color w:val="929292"/>
          <w:sz w:val="16"/>
          <w:szCs w:val="16"/>
        </w:rPr>
        <w:t xml:space="preserve">Fuente: </w:t>
      </w:r>
      <w:r>
        <w:rPr>
          <w:rFonts w:ascii="Arial" w:cs="Arial" w:eastAsia="Arial" w:hAnsi="Arial"/>
          <w:i/>
          <w:iCs/>
          <w:color w:val="929292"/>
          <w:sz w:val="16"/>
          <w:szCs w:val="16"/>
        </w:rPr>
        <w:t xml:space="preserve">BCG Capital Markets &amp; Investment Banking Update H1 2025; Oliver Wyman Future of Global Banking 2025</w:t>
      </w:r>
    </w:p>
    <w:p>
      <w:pPr>
        <w:spacing w:after="60" w:before="240" w:line="240" w:lineRule="auto"/>
      </w:pPr>
      <w:r>
        <w:rPr>
          <w:rFonts w:ascii="Arial" w:cs="Arial" w:eastAsia="Arial" w:hAnsi="Arial"/>
          <w:b/>
          <w:bCs/>
          <w:color w:val="2471A3"/>
          <w:sz w:val="20"/>
          <w:szCs w:val="20"/>
        </w:rPr>
        <w:t xml:space="preserve">04  </w:t>
      </w:r>
      <w:r>
        <w:rPr>
          <w:rFonts w:ascii="Arial" w:cs="Arial" w:eastAsia="Arial" w:hAnsi="Arial"/>
          <w:b/>
          <w:bCs/>
          <w:i/>
          <w:iCs/>
          <w:color w:val="003366"/>
          <w:sz w:val="18"/>
          <w:szCs w:val="18"/>
        </w:rPr>
        <w:t xml:space="preserve">INFRAESTRUCTURA DIGITAL Y ENERGÍA LIDERAN PROJECT FINANCE GLOBAL</w:t>
      </w:r>
    </w:p>
    <w:p>
      <w:pPr>
        <w:spacing w:after="40" w:before="0" w:line="240" w:lineRule="auto"/>
      </w:pPr>
      <w:r>
        <w:rPr>
          <w:rFonts w:ascii="Arial" w:cs="Arial" w:eastAsia="Arial" w:hAnsi="Arial"/>
          <w:color w:val="1A1A1A"/>
          <w:sz w:val="16"/>
          <w:szCs w:val="16"/>
        </w:rPr>
        <w:t xml:space="preserve">Los centros de datos e infraestructura de IA se consolidaron como la clase de activo más dinámica en Project Finance durante 2025, con una oleada de emisión de bonos de hyperscalers que superó los $120.000M en el año —más de $90.000M desde septiembre de 2025—, financiando la expansión de capacidad de computación necesaria para IA generativa. La transición energética mantiene el Project Finance renovable en niveles históricos, con activos de infraestructura y renovables cotizando a prima en valoración y spreads de crédito en proceso de compresión. Los CLOs en circulación alcanzaron ~$1,1 billones a inicio de 2025 (+6% interanual), con emisión neta proyectada de $45.000M para el año. La demanda de Asset-Backed Finance (ABF) se expandió hacia fintech, agricultura y vivienda, áreas donde la banca tradicional tiene menor presencia competitiva. Los fondos soberanos de Oriente Medio intensificaron su participación directa en infraestructura global, reconfigurando estructuras de financiación y competencia en deal-making.</w:t>
      </w:r>
    </w:p>
    <w:p>
      <w:pPr>
        <w:spacing w:after="120" w:before="0" w:line="240" w:lineRule="auto"/>
      </w:pPr>
      <w:r>
        <w:rPr>
          <w:rFonts w:ascii="Arial" w:cs="Arial" w:eastAsia="Arial" w:hAnsi="Arial"/>
          <w:b/>
          <w:bCs/>
          <w:i/>
          <w:iCs/>
          <w:color w:val="929292"/>
          <w:sz w:val="16"/>
          <w:szCs w:val="16"/>
        </w:rPr>
        <w:t xml:space="preserve">Fuente: </w:t>
      </w:r>
      <w:r>
        <w:rPr>
          <w:rFonts w:ascii="Arial" w:cs="Arial" w:eastAsia="Arial" w:hAnsi="Arial"/>
          <w:i/>
          <w:iCs/>
          <w:color w:val="929292"/>
          <w:sz w:val="16"/>
          <w:szCs w:val="16"/>
        </w:rPr>
        <w:t xml:space="preserve">Deutsche Bank Structured Finance 2025; J.P. Morgan Global Dealmaking Trends 2025; IJGlobal / Project Finance International</w:t>
      </w:r>
    </w:p>
    <w:p>
      <w:pPr>
        <w:spacing w:after="60" w:before="240" w:line="240" w:lineRule="auto"/>
      </w:pPr>
      <w:r>
        <w:rPr>
          <w:rFonts w:ascii="Arial" w:cs="Arial" w:eastAsia="Arial" w:hAnsi="Arial"/>
          <w:b/>
          <w:bCs/>
          <w:color w:val="2471A3"/>
          <w:sz w:val="20"/>
          <w:szCs w:val="20"/>
        </w:rPr>
        <w:t xml:space="preserve">05  </w:t>
      </w:r>
      <w:r>
        <w:rPr>
          <w:rFonts w:ascii="Arial" w:cs="Arial" w:eastAsia="Arial" w:hAnsi="Arial"/>
          <w:b/>
          <w:bCs/>
          <w:i/>
          <w:iCs/>
          <w:color w:val="003366"/>
          <w:sz w:val="18"/>
          <w:szCs w:val="18"/>
        </w:rPr>
        <w:t xml:space="preserve">IA, CRÉDITO PRIVADO Y NO-BANCOS REDEFINEN COMPETENCIA CIB</w:t>
      </w:r>
    </w:p>
    <w:p>
      <w:pPr>
        <w:spacing w:after="40" w:before="0" w:line="240" w:lineRule="auto"/>
      </w:pPr>
      <w:r>
        <w:rPr>
          <w:rFonts w:ascii="Arial" w:cs="Arial" w:eastAsia="Arial" w:hAnsi="Arial"/>
          <w:color w:val="1A1A1A"/>
          <w:sz w:val="16"/>
          <w:szCs w:val="16"/>
        </w:rPr>
        <w:t xml:space="preserve">McKinsey identifica tres amenazas estructurales para el CIB 2025-2026: volatilidad macroeconómica y geopolítica, el ascenso de firmas 'atacantes' no bancarias en las líneas de mayor margen, y la aceleración de la frontera digital con IA agéntica y activos digitales. El crédito privado ya representa el ~20% del total de la financiación de operaciones y se proyecta que su AUM supere los $2,3 billones globalmente. En IA aplicada a CIB, los casos de uso se centran principalmente en eficiencia de costes —reducción de hasta el 25% en cumplimiento, operaciones y atención al cliente—; BNP Paribas tiene como objetivo 1.000 casos de uso en producción para finales de 2025 (~€500M en valor generado). El volumen anual de transacciones en stablecoins denominadas en USD supera los $27 billones, obligando a los CIBs a adaptar sus stacks operativos para la integración de cash tokenizado en emisión, trading y post-trade. Goldman Sachs y Citigroup lideran el desarrollo de productos de custodia digital y valores tokenizados, anticipando el próximo ciclo de transformación de los mercados de capitales.</w:t>
      </w:r>
    </w:p>
    <w:p>
      <w:pPr>
        <w:spacing w:after="120" w:before="0" w:line="240" w:lineRule="auto"/>
      </w:pPr>
      <w:r>
        <w:rPr>
          <w:rFonts w:ascii="Arial" w:cs="Arial" w:eastAsia="Arial" w:hAnsi="Arial"/>
          <w:b/>
          <w:bCs/>
          <w:i/>
          <w:iCs/>
          <w:color w:val="929292"/>
          <w:sz w:val="16"/>
          <w:szCs w:val="16"/>
        </w:rPr>
        <w:t xml:space="preserve">Fuente: </w:t>
      </w:r>
      <w:r>
        <w:rPr>
          <w:rFonts w:ascii="Arial" w:cs="Arial" w:eastAsia="Arial" w:hAnsi="Arial"/>
          <w:i/>
          <w:iCs/>
          <w:color w:val="929292"/>
          <w:sz w:val="16"/>
          <w:szCs w:val="16"/>
        </w:rPr>
        <w:t xml:space="preserve">McKinsey Global Banking Annual Review 2025; BCG Corporate and Investment Banking Report 2025; Oliver Wyman Future of Global Banking 2025</w:t>
      </w:r>
    </w:p>
    <w:p>
      <w:pPr>
        <w:spacing w:after="0" w:before="200"/>
      </w:pPr>
    </w:p>
    <w:p>
      <w:pPr>
        <w:shd w:fill="1B5E9E" w:color="1B5E9E" w:val="solid"/>
        <w:spacing w:after="0" w:before="360" w:line="240" w:lineRule="auto"/>
      </w:pPr>
      <w:r>
        <w:rPr>
          <w:rFonts w:ascii="Arial" w:cs="Arial" w:eastAsia="Arial" w:hAnsi="Arial"/>
          <w:b/>
          <w:bCs/>
          <w:color w:val="FFFFFF"/>
          <w:sz w:val="20"/>
          <w:szCs w:val="20"/>
        </w:rPr>
        <w:t xml:space="preserve">02 | GRANDES OPERACIONES — PRODUCTOS CIB  &gt;€200M  (1Q.2025 – 1Q.2026)</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gridCol w:w="100"/>
        <w:gridCol w:w="100"/>
        <w:gridCol w:w="100"/>
      </w:tblGrid>
      <w:tr>
        <w:trPr>
          <w:tblHeader/>
        </w:trPr>
        <w:tc>
          <w:tcPr>
            <w:tcW w:type="dxa" w:w="1625"/>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OPERACIÓN</w:t>
            </w:r>
          </w:p>
        </w:tc>
        <w:tc>
          <w:tcPr>
            <w:tcW w:type="dxa" w:w="3791"/>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DESCRIPCIÓN</w:t>
            </w:r>
          </w:p>
        </w:tc>
        <w:tc>
          <w:tcPr>
            <w:tcW w:type="dxa" w:w="1083"/>
            <w:shd w:fill="003366" w:color="003366"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VOLUMEN</w:t>
            </w:r>
          </w:p>
        </w:tc>
        <w:tc>
          <w:tcPr>
            <w:tcW w:type="dxa" w:w="903"/>
            <w:shd w:fill="003366" w:color="003366"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FECHA</w:t>
            </w:r>
          </w:p>
        </w:tc>
        <w:tc>
          <w:tcPr>
            <w:tcW w:type="dxa" w:w="1624"/>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FUENTE</w:t>
            </w:r>
          </w:p>
        </w:tc>
      </w:tr>
      <w:tr>
        <w:tc>
          <w:tcPr>
            <w:tcW w:type="dxa" w:w="9026"/>
            <w:gridSpan w:val="5"/>
            <w:shd w:fill="EDF2F8" w:color="EDF2F8" w:val="solid"/>
            <w:tcMar>
              <w:top w:type="dxa" w:w="80"/>
              <w:left w:type="dxa" w:w="120"/>
              <w:bottom w:type="dxa" w:w="80"/>
              <w:right w:type="dxa" w:w="120"/>
            </w:tcMar>
          </w:tcPr>
          <w:p>
            <w:pPr>
              <w:spacing w:line="240" w:lineRule="auto"/>
            </w:pPr>
            <w:r>
              <w:rPr>
                <w:rFonts w:ascii="Arial" w:cs="Arial" w:eastAsia="Arial" w:hAnsi="Arial"/>
                <w:b/>
                <w:bCs/>
                <w:i w:val="false"/>
                <w:iCs w:val="false"/>
                <w:color w:val="003366"/>
                <w:sz w:val="16"/>
                <w:szCs w:val="16"/>
              </w:rPr>
              <w:t xml:space="preserve">EQUITIES &amp; CORPORATE FINANCE</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MPS – Mediobanca: Fusión bancaria en Italia</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Monte dei Paschi di Siena lanzó una OPA sobre Mediobanca por aproximadamente €17.000M, asesorado por J.P. Morgan como advisor principal de la operación. La transacción crea la tercera entidad financiera de Italia por tamaño de balance, combinando las franquicias de banca corporativa, gestión de activos y banca de inversión de ambas instituciones. Los drivers estratégicos incluyen la necesidad de escala competitiva ante la consolidación del sector bancario europeo y las presiones regulatorias sobre la rentabilidad de entidades medianas. La operación representa uno de los mayores procesos de consolidación bancaria europea del periodo y señala el inicio de una nueva ola de fusiones entre entidades del sur de Europa, con implicaciones directas para el posicionamiento competitivo de los CIBs que operan en la región.</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€17.000M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J.P. Morgan Investment Banking; Euromoney World's Best Investment Banks 2025</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Masdar – Terna Energy: Adquisición en energías renovables</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Masdar, desarrollador de energía renovable propiedad del Estado de los Emiratos Árabes Unidos, adquirió Terna Energy en la mayor transacción energética de la historia de la Bolsa de Atenas, por aproximadamente €2.400M. La operación incluyó un paquete de financiación de adquisición de €750M estructurado por entidades bancarias internacionales. Los drivers estratégicos son la diversificación geográfica de Masdar hacia Europa del sur y el mediterráneo, y el acceso a una cartera operativa de activos renovables (eólica, solar, almacenamiento) con perfil de cash flow predecible. La transacción ilustra la creciente capacidad de los fondos soberanos de Oriente Medio para competir directamente con el private equity en operaciones de public-to-private de activos de infraestructura energética en Europa.</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€2.400M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Euromoney World's Best Investment Banks 2025; Goldman Sachs Global IB Outlook 2025 [Verificación pendiente]</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Hargreaves Lansdown: Take-Private por consorcio CVC/Nordic/Platinum Ivy</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Un consorcio de private equity formado por CVC Capital Partners, Nordic Capital y Platinum Ivy adquirió la gestora de inversiones británica Hargreaves Lansdown por aproximadamente £5.400M (~$7.000M), con Goldman Sachs como asesor financiero del consorcio comprador. La operación representa una de las mayores transacciones public-to-private del mercado británico en el periodo, reflejando el atractivo de modelos de plataforma de wealth management digital como activos con crecimiento recurrente. Los drivers estratégicos incluyen la posibilidad de acelerar la digitalización de la plataforma y la expansión de producto bajo propiedad privada, fuera de las presiones de los mercados cotizados. El deal subraya la fortaleza del pipeline de LBO en Europa y la disponibilidad de financiación de adquisición en mercados de crédito apalancado.</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€6.300M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Goldman Sachs Global IB; Euromoney World's Best Investment Banks 2025</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Electronic Arts: Mayor LBO de la historia (take-private)</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adquisición apalancada (LBO) de Electronic Arts se cerró por aproximadamente $55.000M, configurándose como el mayor leveraged buyout de la historia del mercado global de private equity. La operación fue estructurada con una combinación de equity de sponsors y financiación de deuda apalancada (leveraged loans y high yield bonds) aportada por un sindicato de bancos internacionales. Los drivers estratégicos incluyen el acceso al catálogo de IP del sector videojuegos y el potencial de monetización vía IA generativa y plataformas de distribución digital. La envergadura de la transacción ancla el año 2025 como el ciclo de mayor actividad LBO desde la crisis financiera de 2008, con impacto directo en las mesas de leveraged finance y DCM de los principales CIBs.</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€50.700M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J.P. Morgan 2025 Investment Banking Recap &amp; 2026 Outlook; BCG Capital Markets Update H1 2025 [Verificación pendiente: estructura de financiación exacta]</w:t>
            </w:r>
          </w:p>
        </w:tc>
      </w:tr>
      <w:tr>
        <w:tc>
          <w:tcPr>
            <w:tcW w:type="dxa" w:w="9026"/>
            <w:gridSpan w:val="5"/>
            <w:shd w:fill="EDF2F8" w:color="EDF2F8" w:val="solid"/>
            <w:tcMar>
              <w:top w:type="dxa" w:w="80"/>
              <w:left w:type="dxa" w:w="120"/>
              <w:bottom w:type="dxa" w:w="80"/>
              <w:right w:type="dxa" w:w="120"/>
            </w:tcMar>
          </w:tcPr>
          <w:p>
            <w:pPr>
              <w:spacing w:line="240" w:lineRule="auto"/>
            </w:pPr>
            <w:r>
              <w:rPr>
                <w:rFonts w:ascii="Arial" w:cs="Arial" w:eastAsia="Arial" w:hAnsi="Arial"/>
                <w:b/>
                <w:bCs/>
                <w:i w:val="false"/>
                <w:iCs w:val="false"/>
                <w:color w:val="003366"/>
                <w:sz w:val="16"/>
                <w:szCs w:val="16"/>
              </w:rPr>
              <w:t xml:space="preserve">DCM</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Alibaba: Bono convertible dual divisa – mayor emisión corporativa APAC</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Alibaba emitió un bono convertible en doble divisa (USD y HKD) por $5.000M, con Morgan Stanley como lead bookrunner principal, marcando el regreso de la compañía al mercado de bonos en dólares tras su ausencia desde 2021. La operación se convirtió en la mayor emisión corporativa de Asia-Pacífico del año y el mayor bono convertible tecnológico emitido globalmente. Estructuralmente, el convertible ofrece a los inversores exposición al potencial de revalorización accionarial de Alibaba manteniendo protección de principal, en un contexto de recuperación de la confianza inversora en el sector tecnológico chino. El éxito de la colocación —que registró demanda record— valida la reapertura del mercado de capitales para emisores chinos de primer nivel en los mercados internacionales.</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€4.600M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Morgan Stanley Market Outlooks 2025; J.P. Morgan Global Dealmaking Trends 2025</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Tencent: Emisión de bonos Dim Sum – mayor bono CNH a 10 años no soberano</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J.P. Morgan lideró la emisión multi-tramo de bonos offshore en renminbi (CNH) de Tencent por un importe equivalente a CNH 9.000M (~$1.250M), estructurando tanto el mayor bono a 10 años CNH emitido por un emisor no soberano como el primer bono a 30 años CNH colocado por una corporación china. La operación registró demanda récord, reflejando el apetito inversor global por activos denominados en renminbi de alta calidad crediticia. Los drivers estratégicos incluyen la diversificación de la base inversora de Tencent hacia fondos de renta fija internacionales con mandato de activos emergentes y la extensión del perfil de vencimientos de su deuda. La transacción consolida la posición de J.P. Morgan como banco líder en los mercados de capitales de deuda onshore y offshore para emisores chinos de primera línea.</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€1.150M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J.P. Morgan Investment Banking; Bloomberg Capital Markets</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Eslovenia: Primer bono digital soberano de la eurozona</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BNP Paribas estructuró y colocó el primer bono digital soberano emitido por un Estado miembro de la eurozona para el Gobierno de Eslovenia, registrado y liquidado en blockchain, marcando un hito en la digitalización de los mercados de deuda pública europeos. La operación, aunque de volumen modesto en términos absolutos, constituye un precedente regulatorio y tecnológico de primer orden para la tokenización de activos de renta fija en la infraestructura de mercados de la Unión Europea. Paralelamente, BNP Paribas respaldó la emisión inaugural de bonos verdes de Islandia, con un libro de órdenes final superior a €7.000M —cifra que supera ampliamente el importe emitido y confirma la robustez de la demanda ESG soberana en Europa. Estas operaciones posicionan a BNP Paribas como referente en la convergencia entre DCM, tokenización y finanzas sostenibles en el mercado europeo.</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€500M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BNP Paribas CIB; Reuters Capital Markets [Verificación pendiente: importe exacto bono digital soberano]</w:t>
            </w:r>
          </w:p>
        </w:tc>
      </w:tr>
      <w:tr>
        <w:tc>
          <w:tcPr>
            <w:tcW w:type="dxa" w:w="9026"/>
            <w:gridSpan w:val="5"/>
            <w:shd w:fill="EDF2F8" w:color="EDF2F8" w:val="solid"/>
            <w:tcMar>
              <w:top w:type="dxa" w:w="80"/>
              <w:left w:type="dxa" w:w="120"/>
              <w:bottom w:type="dxa" w:w="80"/>
              <w:right w:type="dxa" w:w="120"/>
            </w:tcMar>
          </w:tcPr>
          <w:p>
            <w:pPr>
              <w:spacing w:line="240" w:lineRule="auto"/>
            </w:pPr>
            <w:r>
              <w:rPr>
                <w:rFonts w:ascii="Arial" w:cs="Arial" w:eastAsia="Arial" w:hAnsi="Arial"/>
                <w:b/>
                <w:bCs/>
                <w:i w:val="false"/>
                <w:iCs w:val="false"/>
                <w:color w:val="003366"/>
                <w:sz w:val="16"/>
                <w:szCs w:val="16"/>
              </w:rPr>
              <w:t xml:space="preserve">ASSET FINANCE</w:t>
            </w:r>
          </w:p>
        </w:tc>
      </w:tr>
      <w:tr>
        <w:tc>
          <w:tcPr>
            <w:tcW w:type="dxa" w:w="1625"/>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AirTrunk: Adquisición de infraestructura de centros de datos APAC</w:t>
            </w:r>
          </w:p>
        </w:tc>
        <w:tc>
          <w:tcPr>
            <w:tcW w:type="dxa" w:w="3791"/>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Blackstone adquirió AirTrunk, mayor operador de centros de datos de Asia-Pacífico, por aproximadamente AUD 24.000M (~$16.000M), con Goldman Sachs actuando como advisor financiero en la operación. La transacción es el mayor deal de infraestructura digital de Asia-Pacífico del periodo y refleja la convergencia entre Project Finance de infraestructura y la demanda de capacidad computacional vinculada a IA generativa. La estructura de financiación combinó equity de Blackstone con deuda de proyecto a largo plazo y financiación de adquisición sindicada entre bancos internacionales. Los drivers estratégicos incluyen el acceso a una plataforma panregional de data centers con contratos take-or-pay de largo plazo con hyperscalers, activos de alta rentabilidad ajustada al riesgo en un momento de compresión de spreads en infraestructura digital.</w:t>
            </w:r>
          </w:p>
        </w:tc>
        <w:tc>
          <w:tcPr>
            <w:tcW w:type="dxa" w:w="1083"/>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€14.700M</w:t>
            </w:r>
          </w:p>
        </w:tc>
        <w:tc>
          <w:tcPr>
            <w:tcW w:type="dxa" w:w="903"/>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w:t>
            </w:r>
          </w:p>
        </w:tc>
        <w:tc>
          <w:tcPr>
            <w:tcW w:type="dxa" w:w="162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iCs/>
                <w:color w:val="666666"/>
                <w:sz w:val="16"/>
                <w:szCs w:val="16"/>
              </w:rPr>
              <w:t xml:space="preserve">Goldman Sachs Global IB; J.P. Morgan Global Dealmaking Trends 2025; IJGlobal</w:t>
            </w:r>
          </w:p>
        </w:tc>
      </w:tr>
    </w:tbl>
    <w:p>
      <w:pPr>
        <w:spacing w:after="0" w:before="200"/>
      </w:pPr>
    </w:p>
    <w:p>
      <w:pPr>
        <w:shd w:fill="EDF2F8" w:color="EDF2F8" w:val="solid"/>
        <w:spacing w:after="40" w:before="400" w:line="240" w:lineRule="auto"/>
      </w:pPr>
      <w:r>
        <w:rPr>
          <w:rFonts w:ascii="Arial" w:cs="Arial" w:eastAsia="Arial" w:hAnsi="Arial"/>
          <w:b/>
          <w:bCs/>
          <w:color w:val="1A1A1A"/>
          <w:sz w:val="14"/>
          <w:szCs w:val="14"/>
        </w:rPr>
        <w:t xml:space="preserve">FUENTES: </w:t>
      </w:r>
      <w:r>
        <w:rPr>
          <w:rFonts w:ascii="Arial" w:cs="Arial" w:eastAsia="Arial" w:hAnsi="Arial"/>
          <w:color w:val="666666"/>
          <w:sz w:val="14"/>
          <w:szCs w:val="14"/>
        </w:rPr>
        <w:t xml:space="preserve">BCG Capital Markets &amp; Investment Banking Update H1 2025 (media-publications.bcg.com) · BCG Corporate and Investment Banking Report 2025 · McKinsey Global Banking Annual Review 2025 (mckinsey.com) · McKinsey – The state of corporate and investment banking in 2026 · Oliver Wyman – The Future of Global Banking: 3 Scenarios (June 2025) · J.P. Morgan – Mega Deals and Market Shifts: 2025 IB Recap and 2026 Outlook · J.P. Morgan – Global Dealmaking Trends Driving Growth 2025 · Goldman Sachs – 2025 M&amp;A Outlook: Building Momentum on a Global Stage · Morgan Stanley Market Outlooks 2025 · BNP Paribas CIB – ESG &amp; Digital Bonds 2025 · Deutsche Bank – Structured Finance &amp; CLO Market Outlook 2025 · Natixis CIB – Debt Capital Markets 2024 in Review and Outlook 2025 · Euromoney – World's Best Investment Banks 2025 · Global Finance Magazine – World's Best Investment Banks 2025: Debt &amp; M&amp;A · Cleary Gottlieb – M&amp;A 2025 in Review and a Look Ahead to 2026 · Bloomberg Capital Markets – League Tables &amp; Deal Activity 2025 · LSEG / Refinitiv – Deal Activity &amp; Capital Markets 2025 · IJGlobal / Project Finance International – Infrastructure &amp; Project Finance 2025 · Carlyle – Credit in 2026: A Market That Demands Insight (2025) · Dealogic – Investment Banking Scorecard 2025</w:t>
      </w:r>
    </w:p>
    <w:p>
      <w:pPr>
        <w:shd w:fill="EDF2F8" w:color="EDF2F8" w:val="solid"/>
        <w:spacing w:after="80" w:before="0" w:line="240" w:lineRule="auto"/>
      </w:pPr>
      <w:r>
        <w:rPr>
          <w:rFonts w:ascii="Arial" w:cs="Arial" w:eastAsia="Arial" w:hAnsi="Arial"/>
          <w:i/>
          <w:iCs/>
          <w:color w:val="666666"/>
          <w:sz w:val="14"/>
          <w:szCs w:val="14"/>
        </w:rPr>
        <w:t xml:space="preserve">Documento preparado para uso interno del Consejo de Administración de CaixaBank · CIB — Global Investment Banking · 1Q.2025 – 1Q.2026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2026-03-02T19:14:51.659Z</dcterms:created>
  <dcterms:modified xsi:type="dcterms:W3CDTF">2026-03-02T19:14:51.659Z</dcterms:modified>
</cp:coreProperties>
</file>

<file path=docProps/custom.xml><?xml version="1.0" encoding="utf-8"?>
<Properties xmlns="http://schemas.openxmlformats.org/officeDocument/2006/custom-properties" xmlns:vt="http://schemas.openxmlformats.org/officeDocument/2006/docPropsVTypes"/>
</file>