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003B2C" w:color="003B2C" w:val="solid"/>
        <w:spacing w:after="80" w:before="200" w:line="240" w:lineRule="auto"/>
        <w:jc w:val="center"/>
      </w:pPr>
      <w:r>
        <w:rPr>
          <w:rFonts w:ascii="Arial" w:cs="Arial" w:eastAsia="Arial" w:hAnsi="Arial"/>
          <w:b/>
          <w:bCs/>
          <w:color w:val="FFFFFF"/>
          <w:sz w:val="26"/>
          <w:szCs w:val="26"/>
        </w:rPr>
        <w:t xml:space="preserve">CIB VISION MONOINDUSTRIA | ENERGÍA | 1Q.2025 – 1Q.2026</w:t>
      </w:r>
    </w:p>
    <w:p>
      <w:pPr>
        <w:shd w:fill="003B2C" w:color="003B2C" w:val="solid"/>
        <w:spacing w:after="200" w:before="0" w:line="240" w:lineRule="auto"/>
        <w:jc w:val="center"/>
      </w:pPr>
      <w:r>
        <w:rPr>
          <w:rFonts w:ascii="Arial" w:cs="Arial" w:eastAsia="Arial" w:hAnsi="Arial"/>
          <w:i w:val="false"/>
          <w:iCs w:val="false"/>
          <w:color w:val="FFFFFF"/>
          <w:sz w:val="16"/>
          <w:szCs w:val="16"/>
        </w:rPr>
        <w:t xml:space="preserve">Consejo de Administración CaixaBank · Ámbito: Internacional · Operaciones &gt; €100M</w:t>
      </w:r>
    </w:p>
    <w:p>
      <w:pPr>
        <w:shd w:fill="003B2C" w:color="003B2C" w:val="solid"/>
        <w:spacing w:after="200" w:before="0" w:line="240" w:lineRule="auto"/>
        <w:jc w:val="center"/>
      </w:pPr>
      <w:r>
        <w:rPr>
          <w:rFonts w:ascii="Arial" w:cs="Arial" w:eastAsia="Arial" w:hAnsi="Arial"/>
          <w:i/>
          <w:iCs/>
          <w:color w:val="FFFFFF"/>
          <w:sz w:val="16"/>
          <w:szCs w:val="16"/>
        </w:rPr>
        <w:t xml:space="preserve">Consejo de Administración CaixaBank · Ámbito: Internacional (Global) · Operaciones &gt; €100M</w:t>
      </w:r>
    </w:p>
    <w:p>
      <w:pPr>
        <w:shd w:fill="1A5C42" w:color="1A5C42" w:val="solid"/>
        <w:spacing w:after="0" w:before="360" w:line="240" w:lineRule="auto"/>
      </w:pPr>
      <w:r>
        <w:rPr>
          <w:rFonts w:ascii="Arial" w:cs="Arial" w:eastAsia="Arial" w:hAnsi="Arial"/>
          <w:b/>
          <w:bCs/>
          <w:color w:val="FFFFFF"/>
          <w:sz w:val="20"/>
          <w:szCs w:val="20"/>
        </w:rPr>
        <w:t xml:space="preserve">01 | DINÁMICAS DE MERCADO — ENERGÍA  (1Q.2025 – 1Q.2026)</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tblGrid>
      <w:tr>
        <w:trPr>
          <w:tblHeader/>
        </w:trPr>
        <w:tc>
          <w:tcPr>
            <w:tcW w:type="dxa" w:w="2708"/>
            <w:shd w:fill="003B2C" w:color="003B2C"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DINÁMICA</w:t>
            </w:r>
          </w:p>
        </w:tc>
        <w:tc>
          <w:tcPr>
            <w:tcW w:type="dxa" w:w="6318"/>
            <w:shd w:fill="003B2C" w:color="003B2C"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DESCRIPCIÓN E IMPLICACIONES PARA CIB</w:t>
            </w:r>
          </w:p>
        </w:tc>
      </w:tr>
      <w:tr>
        <w:tc>
          <w:tcPr>
            <w:tcW w:type="dxa" w:w="2708"/>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1. INVERSIÓN ENERGÉTICA GLOBAL ALCANZA RÉCORD DE $3,3 BILLONES EN 2025</w:t>
            </w:r>
          </w:p>
        </w:tc>
        <w:tc>
          <w:tcPr>
            <w:tcW w:type="dxa" w:w="6318"/>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Según IEA World Energy Investment 2025, la inversión energética global alcanzó $3,3 billones en 2025, con las tecnologías limpias absorbiendo $2,2 billones —el doble que los combustibles fósiles—. La inversión en generación eléctrica de bajas emisiones ha casi doblado en cinco años, impulsada por el solar fotovoltaico que alcanza $450.000M como mayor partida individual. El almacenamiento en baterías supera los $65.000M y la nuclear crece un 50% en cinco años hasta $75.000M. Esta reconfiguración del capital es estructural y crea oportunidades de financiación a largo plazo para CIB en project finance, green bonds y préstamos sindicados.</w:t>
            </w:r>
          </w:p>
        </w:tc>
      </w:tr>
      <w:tr>
        <w:tc>
          <w:tcPr>
            <w:tcW w:type="dxa" w:w="2708"/>
            <w:shd w:fill="F0F5F2" w:color="F0F5F2"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2. TRANSICIÓN ENERGÉTICA GLOBAL MARCA $2,3 BILLONES — BNEF CONFIRMA OCTAVO AÑO RÉCORD</w:t>
            </w:r>
          </w:p>
        </w:tc>
        <w:tc>
          <w:tcPr>
            <w:tcW w:type="dxa" w:w="6318"/>
            <w:shd w:fill="F0F5F2" w:color="F0F5F2"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BloombergNEF registra $2,3 billones en inversión en transición energética en 2025, +8% interanual. Los principales motores fueron el transporte electrificado ($893.000M), las renovables ($690.000M) y las redes eléctricas ($483.000M). La inversión en energía limpia superó a la de suministro de combustibles fósiles por segundo año consecutivo, ampliando la brecha a $102.000M frente a $85.000M en 2024. A nivel regional, la UE creció un 18% hasta $455.000M, India un 15% hasta $68.000M y EE.UU. un 3,5% hasta $378.000M, a pesar de los cambios de política de la administración Trump. China registró su primera caída en financiación renovable desde 2013, aunque mantiene el liderazgo global con $800.000M.</w:t>
            </w:r>
          </w:p>
        </w:tc>
      </w:tr>
      <w:tr>
        <w:tc>
          <w:tcPr>
            <w:tcW w:type="dxa" w:w="2708"/>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3. EUROPA BATE RÉCORD DE INVERSIÓN ENERGÉTICA — €400.000M Y 50% DE ELECTRICIDAD RENOVABLE</w:t>
            </w:r>
          </w:p>
        </w:tc>
        <w:tc>
          <w:tcPr>
            <w:tcW w:type="dxa" w:w="6318"/>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inversión de la UE en transición energética alcanzó un nuevo récord en 2025, aproximándose a €400.000M ($455.000M), según IEA y EIB Group. Las renovables generaron el 50% de la electricidad de la UE en 2024, frente al 25% de los fósiles, con una ratio de inversión renovable/fósil de 35:1 (vs. 6:1 hace una década). El EIB Group alcanzó €100.000M en nuevas financiaciones en 2025, un hito histórico, con casi el 60% destinado a proyectos verdes incluyendo redes energéticas, eficiencia y descarbonización industrial. La inversión en redes supera los $70.000M anuales en la UE, doblando el nivel de hace una década, pero sigue siendo insuficiente respecto al ritmo de generación. Para CIB, la demanda de deuda sostenible y financiación de infraestructuras en la UE es una ventana de negocio prioritaria.</w:t>
            </w:r>
          </w:p>
        </w:tc>
      </w:tr>
      <w:tr>
        <w:tc>
          <w:tcPr>
            <w:tcW w:type="dxa" w:w="2708"/>
            <w:shd w:fill="F0F5F2" w:color="F0F5F2"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4. M&amp;A ENERGÉTICO GLOBAL SUBE 27% EN VALOR — 20 MEGAOPERACIONES EN 2025</w:t>
            </w:r>
          </w:p>
        </w:tc>
        <w:tc>
          <w:tcPr>
            <w:tcW w:type="dxa" w:w="6318"/>
            <w:shd w:fill="F0F5F2" w:color="F0F5F2"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M&amp;A global en energía, utilities y recursos creció un 27% en valor en 2025, aunque los volúmenes de operaciones cayeron un 2%, según PwC. Se cerraron 20 megaoperaciones (&gt;$5.000M), frente a solo seis en 2024. Las Américas concentraron el 41% del volumen y el 62% del valor, con 14 de las 20 megaoperaciones. El valor total de operaciones energéticas alcanzó casi $142.000M entre noviembre 2024 y noviembre 2025, frente a $28.000M en el periodo previo. El mercado de activos renovables mostró madurez: el número de operaciones cayó de 13 a 9, pero su valor se dobló de $6.900M a $12.500M. Este entorno de consolidación favorece el asesoramiento M&amp;A de CIB, especialmente en operaciones de carve-out, take-private y desinversión de portfolios.</w:t>
            </w:r>
          </w:p>
        </w:tc>
      </w:tr>
      <w:tr>
        <w:tc>
          <w:tcPr>
            <w:tcW w:type="dxa" w:w="2708"/>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5. EÓLICA OFFSHORE Y SOLAR — PIVOTE ESTRATÉGICO HACIA ALTA CAPACIDAD Y ASOCIACIONES PRIVADAS</w:t>
            </w:r>
          </w:p>
        </w:tc>
        <w:tc>
          <w:tcPr>
            <w:tcW w:type="dxa" w:w="6318"/>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eólica offshore captó $39.000M solo en H1 2025, superando el total de 2024 completo, con Europa liderando la reactivación en el Mar del Norte tras la retirada de capital de EE.UU. (BloombergNEF, S&amp;P Global). La UE instaló aproximadamente 77 GW de nueva capacidad renovable en 2024 (State of the Energy Union). Las grandes empresas tecnológicas —Meta, Amazon, Google, Microsoft— representaron el 49% de la compra corporativa global de energía limpia en 2025, incluyendo 4,7 GW de energía nuclear, transformando la estructura de demanda del mercado. La contratación corporativa global de energía limpia (PPAs) cayó a 55,9 GW desde el récord de 62 GW en 2024, principalmente por la retirada de Asia-Pacífico (-36%) y la incertidumbre regulatoria en EE.UU. IRENA y BNEF coinciden en que la madurez del mercado impulsará co-desarrollos y adquisiciones de proyectos en fase temprana como nueva palanca de creación de valor.</w:t>
            </w:r>
          </w:p>
        </w:tc>
      </w:tr>
    </w:tbl>
    <w:p>
      <w:pPr>
        <w:spacing w:after="0" w:before="200"/>
      </w:pPr>
    </w:p>
    <w:p>
      <w:pPr>
        <w:shd w:fill="1A5C42" w:color="1A5C42" w:val="solid"/>
        <w:spacing w:after="0" w:before="360" w:line="240" w:lineRule="auto"/>
      </w:pPr>
      <w:r>
        <w:rPr>
          <w:rFonts w:ascii="Arial" w:cs="Arial" w:eastAsia="Arial" w:hAnsi="Arial"/>
          <w:b/>
          <w:bCs/>
          <w:color w:val="FFFFFF"/>
          <w:sz w:val="20"/>
          <w:szCs w:val="20"/>
        </w:rPr>
        <w:t xml:space="preserve">02 | GRANDES OPERACIONES — ENERGÍA  &gt;€100M  (1Q.2025 – 1Q.2026)</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gridCol w:w="100"/>
        <w:gridCol w:w="100"/>
      </w:tblGrid>
      <w:tr>
        <w:trPr>
          <w:tblHeader/>
        </w:trPr>
        <w:tc>
          <w:tcPr>
            <w:tcW w:type="dxa" w:w="1986"/>
            <w:shd w:fill="003B2C" w:color="003B2C"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OPERACIÓN</w:t>
            </w:r>
          </w:p>
        </w:tc>
        <w:tc>
          <w:tcPr>
            <w:tcW w:type="dxa" w:w="4694"/>
            <w:shd w:fill="003B2C" w:color="003B2C"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DESCRIPCIÓN</w:t>
            </w:r>
          </w:p>
        </w:tc>
        <w:tc>
          <w:tcPr>
            <w:tcW w:type="dxa" w:w="1264"/>
            <w:shd w:fill="003B2C" w:color="003B2C"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VOLUMEN</w:t>
            </w:r>
          </w:p>
        </w:tc>
        <w:tc>
          <w:tcPr>
            <w:tcW w:type="dxa" w:w="1082"/>
            <w:shd w:fill="003B2C" w:color="003B2C"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FECHA</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Constellation Energy — Adquisición de Calpine Corporation</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Constellation Energy adquirió Calpine Corporation, el mayor productor de electricidad por gas natural de EE.UU., en una operación que redefine el panorama de generación dispatchable en el mercado norteamericano. La operación responde a la creciente demanda de generación fiable como respaldo a las energías renovables y a la explosión de la demanda de los centros de datos de Big Tech. Es la mayor operación individual del sector energético en EE.UU. en 2025, y ancla la estrategia de Constellation de cubrir tanto demanda industrial como de data centers con generación de bajas emisiones (nuclear + gas). El cierre contribuyó a situar a las Américas como epicentro del M&amp;A energético global en 2025. [Verificación pendiente: fecha exacta de cierre]</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$29.000M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NRG Energy — Adquisición de activos de LS Power</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NRG Energy cerró la adquisición de una cartera de activos de generación de LS Power por $12.500M, consolidando su posición en el mercado de generación termoeléctrica y renovable en EE.UU. La operación forma parte de la tendencia de megafusiones en el sector eléctrico norteamericano, impulsada por la necesidad de escala para competir en un mercado de PPAs corporativos y contratos con hiperescaladores. Junto con la operación Constellation-Calpine, subraya la apuesta por capacidad dispatchable firme como activo escaso y de alto valor en la transición energética. [Verificación pendiente: estructura exacta y activos incluidos]</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$12.500M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Ørsted / Apollo Global Management — Desinversión del 50% de Hornsea 3 Offshore Wind Farm</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Ørsted acordó la venta del 50% de su parque eólico marino Hornsea 3 (2,9 GW) en el Mar del Norte británico a fondos gestionados por Apollo Global Management. Esta operación es un hito en la financiación de infraestructuras eólicas offshore, al involucrar capital privado institucional como co-inversor en el activo eólico marino más grande del mundo en desarrollo. Para Ørsted, la transacción permite desapalancar su balance mientras mantiene el control operativo; para Apollo, consolida su entrada en activos de infraestructura verde de largo plazo. La operación refleja el interés creciente del capital privado en activos de generación renovable de gran escala en Europa. [Verificación pendiente: fecha exacta de firma]</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$5.600M (≈€5.200M)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Ørsted — Desinversión del negocio onshore europeo (Irlanda, UK, Alemania, España)</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Ørsted anunció la venta de su negocio onshore europeo —incluyendo parques eólicos terrestres, solar y almacenamiento en baterías en Irlanda, Reino Unido, Alemania y España— por $1.700M (≈€1.440M). La operación es parte de la revisión estratégica de Ørsted para concentrar capital en proyectos offshore de mayor escala y rentabilidad. La presencia de activos en España hace esta operación de especial relevancia para CaixaBank CIB como posible asesor o financiador de las partes. El comprador no fue confirmado públicamente en el momento de cierre de esta elaboración. [Verificación pendiente: comprador final e identidad]</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$1.700M (≈€1.440M)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2025-2026 (cierre previsto Q2 2026)</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Enel Green Power — Adquisición de cartera eólica y solar en EE.UU. (830 MW) a Excelsior Energy Capital</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Enel, a través de Enel Green Power, firmó acuerdos con Excelsior Energy Capital para adquirir una cartera de plantas eólicas y solares en operación en EE.UU. con capacidad total de 830 MW. El precio total de la transacción fue de aproximadamente $1.000M (≈€850M). La operación eleva la capacidad instalada renovable de Enel en EE.UU. a aproximadamente 13 GW de eólica, solar y almacenamiento, reforzando su posición en el mercado norteamericano a pesar del entorno político adverso bajo la administración Trump. Responde a la estrategia del grupo de crecer en mercados core a través de adquisiciones de activos en operación para acelerar el retorno. [Verificación pendiente: fecha exacta de cierre]</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$1.000M (≈€850M)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Ørsted / Cathay Life Insurance &amp; Cathay Power — Desinversión 55% Greater Changhua 2 Offshore Wind (Taiwan)</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Ørsted cerró la venta del 55% del parque eólico marino Greater Changhua 2 (632 MW) en el Estrecho de Taiwán a Cathay Life Insurance y Cathay Power, dos de las principales instituciones financieras y energéticas de Taiwán. La transacción valoró el activo en aproximadamente $790M y se enmarca en la estrategia de reciclaje de capital de Ørsted en el mercado asiático. La operación evidencia el creciente interés del capital institucional asiático en activos de infraestructura eólica offshore, y la consolidación del mercado taiwanés como hub renovable en la región Asia-Pacífico. Para CIB, el mercado de financiación renovable offshore en Asia representa una oportunidad de estructuración y sindicación. [Verificación pendiente: fecha exacta de firma]</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$790M (≈€730M)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Finales 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EIB Group — Financiación récord de €100.000M con foco en energía, redes e infraestructura verde en la UE</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EIB Group alcanzó en 2025 un hito histórico de €100.000M en nuevas financiaciones, con casi el 60% destinado a proyectos verdes, incluyendo redes energéticas, interconectores, energías renovables, eficiencia energética y descarbonización industrial. Esta cifra consolida al EIB como el mayor financiador multilateral de la transición energética europea. La actividad del EIB actúa como catalizador de coinversión para la banca comercial y los mercados de capitales, creando un flujo continuo de operaciones estructuradas, bonos verdes y financiación de proyectos en las que CaixaBank CIB puede actuar como cofinanciador o structurer. El programa TechEU del EIB tiene como objetivo movilizar €250.000M hasta 2027 en innovación y tecnología limpia.</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€100.000M (financiación total EIB Group 2025)</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 (dato anual)</w:t>
            </w:r>
          </w:p>
        </w:tc>
      </w:tr>
    </w:tbl>
    <w:p>
      <w:pPr>
        <w:spacing w:after="0" w:before="200"/>
      </w:pPr>
    </w:p>
    <w:p>
      <w:pPr>
        <w:shd w:fill="F0F5F2" w:color="F0F5F2" w:val="solid"/>
        <w:spacing w:after="40" w:before="400" w:line="240" w:lineRule="auto"/>
      </w:pPr>
      <w:r>
        <w:rPr>
          <w:rFonts w:ascii="Arial" w:cs="Arial" w:eastAsia="Arial" w:hAnsi="Arial"/>
          <w:b/>
          <w:bCs/>
          <w:color w:val="1A1A1A"/>
          <w:sz w:val="14"/>
          <w:szCs w:val="14"/>
        </w:rPr>
        <w:t xml:space="preserve">FUENTES: </w:t>
      </w:r>
      <w:r>
        <w:rPr>
          <w:rFonts w:ascii="Arial" w:cs="Arial" w:eastAsia="Arial" w:hAnsi="Arial"/>
          <w:color w:val="666666"/>
          <w:sz w:val="14"/>
          <w:szCs w:val="14"/>
        </w:rPr>
        <w:t xml:space="preserve">IEA World Energy Investment 2025 — https://www.iea.org/reports/world-energy-investment-2025/executive-summary · IEA World Energy Investment 2025 — European Union chapter — https://www.iea.org/reports/world-energy-investment-2025/european-union · BloombergNEF Energy Transition Investment Trends 2025 — https://about.bnef.com/insights/clean-energy/bloombergnef-finds-global-energy-transition-investment-reached-record-2-3-trillion-in-2025-up-8-from-2024/ · BloombergNEF Corporate Clean Energy Buying 2025 — https://about.bnef.com/insights/clean-energy/corporate-clean-energy-buying-fell-in-2025-after-nearly-a-decade-of-growth/ · EIB Group Activity Report 2025 — https://www.eib.org/en/publications/online/all/eib-group-activity-report-2025 · EIB Investment Survey 2025 — https://www.eib.org/en/publications/20250216-econ-eibis-2025-eu · EIB Investment Report 2024/2025 — https://www.eib.org/en/publications/20240354-investment-report-2024 · Eurostat — Shedding Light on Energy in the EU 2025 — https://ec.europa.eu/eurostat/web/interactive-publications/energy-2025 · European Commission — 10th State of the Energy Union Report 2025 — https://energy.ec.europa.eu/strategy/energy-union/10th-report-state-energy-union_en · PwC Global M&amp;A Trends in Energy, Utilities and Resources: 2026 Outlook — https://www.pwc.com/gx/en/services/deals/trends/energy-utilities-resources.html · Utility Dive — Energy industry dealmaking soared in 2025 on large utility, IPP mergers — https://www.utilitydive.com/news/energy-industry-utility-ipp-mergers-pwc/808228/ · OilPrice.com — Ørsted to Sell European Onshore Business for $1.7 Billion — https://oilprice.com/Latest-Energy-News/World-News/rsted-to-Sell-European-Onshore-Business-for-17-Billion.html · Power Engineering — Enel spends $1 billion on US wind and solar projects — https://www.power-eng.com/renewables/enel-spends-a-billion-bucks-on-us-wind-and-solar-projects/</w:t>
      </w:r>
    </w:p>
    <w:p>
      <w:pPr>
        <w:shd w:fill="F0F5F2" w:color="F0F5F2" w:val="solid"/>
        <w:spacing w:after="80" w:before="0" w:line="240" w:lineRule="auto"/>
      </w:pPr>
      <w:r>
        <w:rPr>
          <w:rFonts w:ascii="Arial" w:cs="Arial" w:eastAsia="Arial" w:hAnsi="Arial"/>
          <w:i/>
          <w:iCs/>
          <w:color w:val="666666"/>
          <w:sz w:val="14"/>
          <w:szCs w:val="14"/>
        </w:rPr>
        <w:t xml:space="preserve">Documento preparado para uso interno del Consejo de Administración de CaixaBank · CIB — Global Investment Banking · 1Q.2025 – 1Q.2026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2026-03-02T19:23:23.682Z</dcterms:created>
  <dcterms:modified xsi:type="dcterms:W3CDTF">2026-03-02T19:23:23.682Z</dcterms:modified>
</cp:coreProperties>
</file>

<file path=docProps/custom.xml><?xml version="1.0" encoding="utf-8"?>
<Properties xmlns="http://schemas.openxmlformats.org/officeDocument/2006/custom-properties" xmlns:vt="http://schemas.openxmlformats.org/officeDocument/2006/docPropsVTypes"/>
</file>