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hd w:fill="003B2C" w:color="003B2C" w:val="solid"/>
        <w:spacing w:after="80" w:before="200" w:line="240" w:lineRule="auto"/>
        <w:jc w:val="center"/>
      </w:pPr>
      <w:r>
        <w:rPr>
          <w:rFonts w:ascii="Arial" w:cs="Arial" w:eastAsia="Arial" w:hAnsi="Arial"/>
          <w:b/>
          <w:bCs/>
          <w:color w:val="FFFFFF"/>
          <w:sz w:val="26"/>
          <w:szCs w:val="26"/>
        </w:rPr>
        <w:t xml:space="preserve">CORPORATE &amp; INVESTMENT BANKING</w:t>
      </w:r>
    </w:p>
    <w:p>
      <w:pPr>
        <w:shd w:fill="003B2C" w:color="003B2C" w:val="solid"/>
        <w:spacing w:after="200" w:before="0" w:line="240" w:lineRule="auto"/>
        <w:jc w:val="center"/>
      </w:pPr>
      <w:r>
        <w:rPr>
          <w:rFonts w:ascii="Arial" w:cs="Arial" w:eastAsia="Arial" w:hAnsi="Arial"/>
          <w:i w:val="false"/>
          <w:iCs w:val="false"/>
          <w:color w:val="FFFFFF"/>
          <w:sz w:val="16"/>
          <w:szCs w:val="16"/>
        </w:rPr>
        <w:t xml:space="preserve">VISIÓN GENERAL DE INDUSTRIAS · MERCADO INTERNACIONAL · 1Q.2025 – 1Q.2026</w:t>
      </w:r>
    </w:p>
    <w:p>
      <w:pPr>
        <w:shd w:fill="003B2C" w:color="003B2C" w:val="solid"/>
        <w:spacing w:after="200" w:before="0" w:line="240" w:lineRule="auto"/>
        <w:jc w:val="center"/>
      </w:pPr>
      <w:r>
        <w:rPr>
          <w:rFonts w:ascii="Arial" w:cs="Arial" w:eastAsia="Arial" w:hAnsi="Arial"/>
          <w:i/>
          <w:iCs/>
          <w:color w:val="FFFFFF"/>
          <w:sz w:val="16"/>
          <w:szCs w:val="16"/>
        </w:rPr>
        <w:t xml:space="preserve">Consejo de Administración CaixaBank · Ámbito: Internacional (Global) · Operaciones &gt; €200M</w:t>
      </w:r>
    </w:p>
    <w:p>
      <w:pPr>
        <w:shd w:fill="1A5C42" w:color="1A5C42" w:val="solid"/>
        <w:spacing w:after="200" w:before="360" w:line="240" w:lineRule="auto"/>
      </w:pPr>
      <w:r>
        <w:rPr>
          <w:rFonts w:ascii="Arial" w:cs="Arial" w:eastAsia="Arial" w:hAnsi="Arial"/>
          <w:b/>
          <w:bCs/>
          <w:color w:val="FFFFFF"/>
          <w:sz w:val="20"/>
          <w:szCs w:val="20"/>
        </w:rPr>
        <w:t xml:space="preserve">01 | DINÁMICAS DE MERCADO — INDUSTRIAS CIB  (1Q.2025 – 1Q.2026)</w:t>
      </w:r>
    </w:p>
    <w:p>
      <w:pPr>
        <w:spacing w:after="60" w:before="240" w:line="240" w:lineRule="auto"/>
      </w:pPr>
      <w:r>
        <w:rPr>
          <w:rFonts w:ascii="Arial" w:cs="Arial" w:eastAsia="Arial" w:hAnsi="Arial"/>
          <w:b/>
          <w:bCs/>
          <w:color w:val="2E7D52"/>
          <w:sz w:val="20"/>
          <w:szCs w:val="20"/>
        </w:rPr>
        <w:t xml:space="preserve">01  </w:t>
      </w:r>
      <w:r>
        <w:rPr>
          <w:rFonts w:ascii="Arial" w:cs="Arial" w:eastAsia="Arial" w:hAnsi="Arial"/>
          <w:b/>
          <w:bCs/>
          <w:i/>
          <w:iCs/>
          <w:color w:val="003B2C"/>
          <w:sz w:val="18"/>
          <w:szCs w:val="18"/>
        </w:rPr>
        <w:t xml:space="preserve">SUPERCICLO M&amp;A GLOBAL IMPULSADO POR IA Y MEGAOPERACIONES</w:t>
      </w:r>
    </w:p>
    <w:p>
      <w:pPr>
        <w:spacing w:after="40" w:before="0" w:line="240" w:lineRule="auto"/>
      </w:pPr>
      <w:r>
        <w:rPr>
          <w:rFonts w:ascii="Arial" w:cs="Arial" w:eastAsia="Arial" w:hAnsi="Arial"/>
          <w:color w:val="1A1A1A"/>
          <w:sz w:val="16"/>
          <w:szCs w:val="16"/>
        </w:rPr>
        <w:t xml:space="preserve">El valor global de M&amp;A alcanzó aproximadamente $4,9 billones en 2025, superando el récord previo de $4,86 billones registrado en 2021, con un crecimiento del ~40% interanual según PitchBook. El periodo concentró 70 operaciones superiores a $10.000M, frente a niveles significativamente menores en 2024, con 43 megaoperaciones (&gt;$10.000M) que representaron la cifra récord del periodo. Más del 20% de las 74 operaciones valoradas en más de $5.000M tuvieron un componente temático de IA, según datos de McKinsey y BCG. El M&amp;A Sentiment Index® de BCG escaló de 62 a 72 puntos entre junio y julio de 2025, reflejando urgencia estratégica entre los ejecutivos de las principales corporaciones industriales y tecnológicas. Para CIB, este entorno supone una ventana de generación de mandatos de asesoramiento y financiación de gran volumen en todas las industrias cubiertas, con especial protagonismo de TMT, Energía y Healthcare.</w:t>
      </w:r>
    </w:p>
    <w:p>
      <w:pPr>
        <w:spacing w:after="120" w:before="0" w:line="240" w:lineRule="auto"/>
      </w:pPr>
      <w:r>
        <w:rPr>
          <w:rFonts w:ascii="Arial" w:cs="Arial" w:eastAsia="Arial" w:hAnsi="Arial"/>
          <w:b/>
          <w:bCs/>
          <w:i/>
          <w:iCs/>
          <w:color w:val="666666"/>
          <w:sz w:val="16"/>
          <w:szCs w:val="16"/>
        </w:rPr>
        <w:t xml:space="preserve">Fuente: </w:t>
      </w:r>
      <w:r>
        <w:rPr>
          <w:rFonts w:ascii="Arial" w:cs="Arial" w:eastAsia="Arial" w:hAnsi="Arial"/>
          <w:i/>
          <w:iCs/>
          <w:color w:val="666666"/>
          <w:sz w:val="16"/>
          <w:szCs w:val="16"/>
        </w:rPr>
        <w:t xml:space="preserve">BCG Global Investment Banking Outlook H1 2025; McKinsey Global Banking Annual Review; BNP Paribas CIB M&amp;A Outlook 2026; PitchBook vía CNBC</w:t>
      </w:r>
    </w:p>
    <w:p>
      <w:pPr>
        <w:spacing w:after="60" w:before="240" w:line="240" w:lineRule="auto"/>
      </w:pPr>
      <w:r>
        <w:rPr>
          <w:rFonts w:ascii="Arial" w:cs="Arial" w:eastAsia="Arial" w:hAnsi="Arial"/>
          <w:b/>
          <w:bCs/>
          <w:color w:val="2E7D52"/>
          <w:sz w:val="20"/>
          <w:szCs w:val="20"/>
        </w:rPr>
        <w:t xml:space="preserve">02  </w:t>
      </w:r>
      <w:r>
        <w:rPr>
          <w:rFonts w:ascii="Arial" w:cs="Arial" w:eastAsia="Arial" w:hAnsi="Arial"/>
          <w:b/>
          <w:bCs/>
          <w:i/>
          <w:iCs/>
          <w:color w:val="003B2C"/>
          <w:sz w:val="18"/>
          <w:szCs w:val="18"/>
        </w:rPr>
        <w:t xml:space="preserve">TRANSICIÓN ENERGÉTICA Y DIGITALIZACIÓN REDEFINEN CAPEX SECTORIAL</w:t>
      </w:r>
    </w:p>
    <w:p>
      <w:pPr>
        <w:spacing w:after="40" w:before="0" w:line="240" w:lineRule="auto"/>
      </w:pPr>
      <w:r>
        <w:rPr>
          <w:rFonts w:ascii="Arial" w:cs="Arial" w:eastAsia="Arial" w:hAnsi="Arial"/>
          <w:color w:val="1A1A1A"/>
          <w:sz w:val="16"/>
          <w:szCs w:val="16"/>
        </w:rPr>
        <w:t xml:space="preserve">La actividad M&amp;A en infraestructuras de energía renovable alcanzó $43.000M en H1 2025, con Norteamérica liderando con $16.000M, Europa con $13.000M y APAC+Latinoamérica con $12.000M, según datos de PwC y Goldman Sachs. El volumen de operaciones en infraestructuras de EE.UU. totalizó $136.600M en H1 2025, superando ya los $125.000M del conjunto de 2024. En paralelo, la inversión en centros de datos e infraestructura de IA catalizó la mayor operación de infraestructuras registrada: la adquisición de Aligned Data Centers por $40.000M, liderada por BlackRock GIP y MGX. Las utilities y el sector energético también contribuyeron con $54.200M en Q4 2025, sustentados en proyectos de refuerzo de redes y generación renovable. Para CIB, la confluencia de financiación de proyectos, project bonds y M&amp;A de activos en transición energética genera un pipeline de alta recurrencia y tamaño.</w:t>
      </w:r>
    </w:p>
    <w:p>
      <w:pPr>
        <w:spacing w:after="120" w:before="0" w:line="240" w:lineRule="auto"/>
      </w:pPr>
      <w:r>
        <w:rPr>
          <w:rFonts w:ascii="Arial" w:cs="Arial" w:eastAsia="Arial" w:hAnsi="Arial"/>
          <w:b/>
          <w:bCs/>
          <w:i/>
          <w:iCs/>
          <w:color w:val="666666"/>
          <w:sz w:val="16"/>
          <w:szCs w:val="16"/>
        </w:rPr>
        <w:t xml:space="preserve">Fuente: </w:t>
      </w:r>
      <w:r>
        <w:rPr>
          <w:rFonts w:ascii="Arial" w:cs="Arial" w:eastAsia="Arial" w:hAnsi="Arial"/>
          <w:i/>
          <w:iCs/>
          <w:color w:val="666666"/>
          <w:sz w:val="16"/>
          <w:szCs w:val="16"/>
        </w:rPr>
        <w:t xml:space="preserve">Goldman Sachs Global IB Outlook 2025; PwC Capital Markets &amp; Financial Services Outlook 2026; IJGlobal; Project Finance International (PFI)</w:t>
      </w:r>
    </w:p>
    <w:p>
      <w:pPr>
        <w:spacing w:after="60" w:before="240" w:line="240" w:lineRule="auto"/>
      </w:pPr>
      <w:r>
        <w:rPr>
          <w:rFonts w:ascii="Arial" w:cs="Arial" w:eastAsia="Arial" w:hAnsi="Arial"/>
          <w:b/>
          <w:bCs/>
          <w:color w:val="2E7D52"/>
          <w:sz w:val="20"/>
          <w:szCs w:val="20"/>
        </w:rPr>
        <w:t xml:space="preserve">03  </w:t>
      </w:r>
      <w:r>
        <w:rPr>
          <w:rFonts w:ascii="Arial" w:cs="Arial" w:eastAsia="Arial" w:hAnsi="Arial"/>
          <w:b/>
          <w:bCs/>
          <w:i/>
          <w:iCs/>
          <w:color w:val="003B2C"/>
          <w:sz w:val="18"/>
          <w:szCs w:val="18"/>
        </w:rPr>
        <w:t xml:space="preserve">PATROCINADORES FINANCIEROS DESPLIEGAN DRY POWDER RÉCORD EN TODAS LAS INDUSTRIAS</w:t>
      </w:r>
    </w:p>
    <w:p>
      <w:pPr>
        <w:spacing w:after="40" w:before="0" w:line="240" w:lineRule="auto"/>
      </w:pPr>
      <w:r>
        <w:rPr>
          <w:rFonts w:ascii="Arial" w:cs="Arial" w:eastAsia="Arial" w:hAnsi="Arial"/>
          <w:color w:val="1A1A1A"/>
          <w:sz w:val="16"/>
          <w:szCs w:val="16"/>
        </w:rPr>
        <w:t xml:space="preserve">Los patrocinadores financieros (private equity y fondos de infraestructuras) acumulan dry powder en niveles históricos, con un buy-side deal value de $575.000M en 2025, equivalente a un incremento del 137% interanual, impulsado por la presión de retorno de capital a inversores tras períodos de retención ampliados, según BCG. Los patrocinadores representaron el 40% del valor total de operaciones en EE.UU. durante el periodo. El mercado secundario de LP interests registró volúmenes con un crecimiento del 60% interanual en 2025, y las proyecciones para 2026 apuntan a continuidad de esta tendencia. Los sectores industriales, energéticos, healthcare y de consumo concentran la mayor parte de los procesos de desinversión de cartera pendientes. CIB debe posicionarse en la cadena de valor completa: asesoramiento en ventas secundarias, financiación de adquisiciones y colocación de capital para nuevas plataformas.</w:t>
      </w:r>
    </w:p>
    <w:p>
      <w:pPr>
        <w:spacing w:after="120" w:before="0" w:line="240" w:lineRule="auto"/>
      </w:pPr>
      <w:r>
        <w:rPr>
          <w:rFonts w:ascii="Arial" w:cs="Arial" w:eastAsia="Arial" w:hAnsi="Arial"/>
          <w:b/>
          <w:bCs/>
          <w:i/>
          <w:iCs/>
          <w:color w:val="666666"/>
          <w:sz w:val="16"/>
          <w:szCs w:val="16"/>
        </w:rPr>
        <w:t xml:space="preserve">Fuente: </w:t>
      </w:r>
      <w:r>
        <w:rPr>
          <w:rFonts w:ascii="Arial" w:cs="Arial" w:eastAsia="Arial" w:hAnsi="Arial"/>
          <w:i/>
          <w:iCs/>
          <w:color w:val="666666"/>
          <w:sz w:val="16"/>
          <w:szCs w:val="16"/>
        </w:rPr>
        <w:t xml:space="preserve">BCG M&amp;A Outlook 2026; J.P. Morgan Annual Market Outlook 2026; BNP Paribas CIB 2026 M&amp;A Outlook; HarbourVest Private Markets 2025</w:t>
      </w:r>
    </w:p>
    <w:p>
      <w:pPr>
        <w:spacing w:after="60" w:before="240" w:line="240" w:lineRule="auto"/>
      </w:pPr>
      <w:r>
        <w:rPr>
          <w:rFonts w:ascii="Arial" w:cs="Arial" w:eastAsia="Arial" w:hAnsi="Arial"/>
          <w:b/>
          <w:bCs/>
          <w:color w:val="2E7D52"/>
          <w:sz w:val="20"/>
          <w:szCs w:val="20"/>
        </w:rPr>
        <w:t xml:space="preserve">04  </w:t>
      </w:r>
      <w:r>
        <w:rPr>
          <w:rFonts w:ascii="Arial" w:cs="Arial" w:eastAsia="Arial" w:hAnsi="Arial"/>
          <w:b/>
          <w:bCs/>
          <w:i/>
          <w:iCs/>
          <w:color w:val="003B2C"/>
          <w:sz w:val="18"/>
          <w:szCs w:val="18"/>
        </w:rPr>
        <w:t xml:space="preserve">CONSOLIDACIÓN SECTORIAL EN FIG, HEALTHCARE Y DISTRIBUCIÓN ANTE PRESIÓN REGULATORIA</w:t>
      </w:r>
    </w:p>
    <w:p>
      <w:pPr>
        <w:spacing w:after="40" w:before="0" w:line="240" w:lineRule="auto"/>
      </w:pPr>
      <w:r>
        <w:rPr>
          <w:rFonts w:ascii="Arial" w:cs="Arial" w:eastAsia="Arial" w:hAnsi="Arial"/>
          <w:color w:val="1A1A1A"/>
          <w:sz w:val="16"/>
          <w:szCs w:val="16"/>
        </w:rPr>
        <w:t xml:space="preserve">El sector FIG registró 2.236 operaciones en 2025, superando el pico de 10 años alcanzado en 2024 (2.219 operaciones), con 93 transacciones superiores a $1.000M según EY Global Financial Services M&amp;A Report. La consolidación bancaria en EE.UU. se aceleró, con ejemplos como la fusión de Fifth Third y Comerica por $10.900M. En Healthcare, el valor de operaciones en Q4 2025 alcanzó $111.900M, impulsado por ciencias de la vida, servicios farmacéuticos subcontratados y plataformas de proveedores. El sector de Distribución &amp; Bienes de Consumo mostró un volumen de operaciones un 17% inferior en los tres primeros trimestres de 2025 respecto al año anterior, aunque con recuperación en subsegmentos de logística y retail parques. Para CIB europeo, la presión regulatoria del BCE y la revisión de modelos de negocio en banca y seguros genera oportunidades en asesoramiento de fusiones transfronterizas y emisiones de capital.</w:t>
      </w:r>
    </w:p>
    <w:p>
      <w:pPr>
        <w:spacing w:after="120" w:before="0" w:line="240" w:lineRule="auto"/>
      </w:pPr>
      <w:r>
        <w:rPr>
          <w:rFonts w:ascii="Arial" w:cs="Arial" w:eastAsia="Arial" w:hAnsi="Arial"/>
          <w:b/>
          <w:bCs/>
          <w:i/>
          <w:iCs/>
          <w:color w:val="666666"/>
          <w:sz w:val="16"/>
          <w:szCs w:val="16"/>
        </w:rPr>
        <w:t xml:space="preserve">Fuente: </w:t>
      </w:r>
      <w:r>
        <w:rPr>
          <w:rFonts w:ascii="Arial" w:cs="Arial" w:eastAsia="Arial" w:hAnsi="Arial"/>
          <w:i/>
          <w:iCs/>
          <w:color w:val="666666"/>
          <w:sz w:val="16"/>
          <w:szCs w:val="16"/>
        </w:rPr>
        <w:t xml:space="preserve">EY Global Financial Services M&amp;A 2025; ECB Financial Stability Review; McKinsey Global Banking Annual Review; PwC Global M&amp;A Trends 2026</w:t>
      </w:r>
    </w:p>
    <w:p>
      <w:pPr>
        <w:spacing w:after="60" w:before="240" w:line="240" w:lineRule="auto"/>
      </w:pPr>
      <w:r>
        <w:rPr>
          <w:rFonts w:ascii="Arial" w:cs="Arial" w:eastAsia="Arial" w:hAnsi="Arial"/>
          <w:b/>
          <w:bCs/>
          <w:color w:val="2E7D52"/>
          <w:sz w:val="20"/>
          <w:szCs w:val="20"/>
        </w:rPr>
        <w:t xml:space="preserve">05  </w:t>
      </w:r>
      <w:r>
        <w:rPr>
          <w:rFonts w:ascii="Arial" w:cs="Arial" w:eastAsia="Arial" w:hAnsi="Arial"/>
          <w:b/>
          <w:bCs/>
          <w:i/>
          <w:iCs/>
          <w:color w:val="003B2C"/>
          <w:sz w:val="18"/>
          <w:szCs w:val="18"/>
        </w:rPr>
        <w:t xml:space="preserve">INCERTIDUMBRE MACRO Y GEOPOLÍTICA CONDICIONA SELECTIVIDAD Y ESTRUCTURACIÓN DE OPERACIONES</w:t>
      </w:r>
    </w:p>
    <w:p>
      <w:pPr>
        <w:spacing w:after="40" w:before="0" w:line="240" w:lineRule="auto"/>
      </w:pPr>
      <w:r>
        <w:rPr>
          <w:rFonts w:ascii="Arial" w:cs="Arial" w:eastAsia="Arial" w:hAnsi="Arial"/>
          <w:color w:val="1A1A1A"/>
          <w:sz w:val="16"/>
          <w:szCs w:val="16"/>
        </w:rPr>
        <w:t xml:space="preserve">El entorno macroeconómico del periodo 1Q2025–1Q2026 se caracteriza por una transición de los bancos centrales desde un ciclo de relajación sincronizado (2025) hacia una pausa coordinada en niveles elevados en 2026, con un 70% de los bancos centrales que anteriormente recortaban tipos ahora en modo hold, según J.P. Morgan Global Research. El FMI y la OCDE advierten sobre la persistencia de riesgos geopolíticos, tensiones arancelarias y desaceleración del comercio global como factores que elevan las primas de riesgo en determinados sectores industriales y de distribución. No obstante, los balances corporativos muestran solidez, con niveles de liquidez amplios que sostienen la actividad en capital markets. Las operaciones cross-border registraron un máximo de cuatro años, con flujos netos de entrada hacia las Américas de $150.000M. Para CIB, la selectividad en estructuración —mayor uso de covenants, earn-outs y estructuras contingentes— y la gestión de riesgo de ejecución en operaciones transfronterizas se convierten en vectores de diferenciación.</w:t>
      </w:r>
    </w:p>
    <w:p>
      <w:pPr>
        <w:spacing w:after="120" w:before="0" w:line="240" w:lineRule="auto"/>
      </w:pPr>
      <w:r>
        <w:rPr>
          <w:rFonts w:ascii="Arial" w:cs="Arial" w:eastAsia="Arial" w:hAnsi="Arial"/>
          <w:b/>
          <w:bCs/>
          <w:i/>
          <w:iCs/>
          <w:color w:val="666666"/>
          <w:sz w:val="16"/>
          <w:szCs w:val="16"/>
        </w:rPr>
        <w:t xml:space="preserve">Fuente: </w:t>
      </w:r>
      <w:r>
        <w:rPr>
          <w:rFonts w:ascii="Arial" w:cs="Arial" w:eastAsia="Arial" w:hAnsi="Arial"/>
          <w:i/>
          <w:iCs/>
          <w:color w:val="666666"/>
          <w:sz w:val="16"/>
          <w:szCs w:val="16"/>
        </w:rPr>
        <w:t xml:space="preserve">IMF Global Financial Stability Report; OECD Economic Outlook; J.P. Morgan Market Outlook 2026; BIS Global Liquidity Reports; FSB Financial Stability Board Reports</w:t>
      </w:r>
    </w:p>
    <w:p>
      <w:pPr>
        <w:spacing w:after="0" w:before="200"/>
      </w:pPr>
    </w:p>
    <w:p>
      <w:pPr>
        <w:shd w:fill="1A5C42" w:color="1A5C42" w:val="solid"/>
        <w:spacing w:after="0" w:before="360" w:line="240" w:lineRule="auto"/>
      </w:pPr>
      <w:r>
        <w:rPr>
          <w:rFonts w:ascii="Arial" w:cs="Arial" w:eastAsia="Arial" w:hAnsi="Arial"/>
          <w:b/>
          <w:bCs/>
          <w:color w:val="FFFFFF"/>
          <w:sz w:val="20"/>
          <w:szCs w:val="20"/>
        </w:rPr>
        <w:t xml:space="preserve">02 | GRANDES OPERACIONES — INDUSTRIAS CIB  &gt;€200M  (1Q.2025 – 1Q.2026)</w:t>
      </w:r>
    </w:p>
    <w:tbl>
      <w:tblPr>
        <w:tblW w:type="dxa" w:w="9026"/>
        <w:tblBorders>
          <w:top w:val="single" w:color="CCCCCC" w:sz="1"/>
          <w:left w:val="single" w:color="CCCCCC" w:sz="1"/>
          <w:bottom w:val="single" w:color="CCCCCC" w:sz="1"/>
          <w:right w:val="single" w:color="CCCCCC" w:sz="1"/>
          <w:insideH w:val="single" w:color="auto" w:sz="4"/>
          <w:insideV w:val="single" w:color="auto" w:sz="4"/>
        </w:tblBorders>
      </w:tblPr>
      <w:tblGrid>
        <w:gridCol w:w="100"/>
        <w:gridCol w:w="100"/>
        <w:gridCol w:w="100"/>
        <w:gridCol w:w="100"/>
        <w:gridCol w:w="100"/>
      </w:tblGrid>
      <w:tr>
        <w:trPr>
          <w:tblHeader/>
        </w:trPr>
        <w:tc>
          <w:tcPr>
            <w:tcW w:type="dxa" w:w="1625"/>
            <w:shd w:fill="003B2C" w:color="003B2C" w:val="solid"/>
            <w:tcMar>
              <w:top w:type="dxa" w:w="80"/>
              <w:left w:type="dxa" w:w="120"/>
              <w:bottom w:type="dxa" w:w="80"/>
              <w:right w:type="dxa" w:w="120"/>
            </w:tcMar>
          </w:tcPr>
          <w:p>
            <w:pPr>
              <w:spacing w:line="240" w:lineRule="auto"/>
            </w:pPr>
            <w:r>
              <w:rPr>
                <w:rFonts w:ascii="Arial" w:cs="Arial" w:eastAsia="Arial" w:hAnsi="Arial"/>
                <w:b/>
                <w:bCs/>
                <w:i w:val="false"/>
                <w:iCs w:val="false"/>
                <w:color w:val="FFFFFF"/>
                <w:sz w:val="16"/>
                <w:szCs w:val="16"/>
              </w:rPr>
              <w:t xml:space="preserve">OPERACIÓN</w:t>
            </w:r>
          </w:p>
        </w:tc>
        <w:tc>
          <w:tcPr>
            <w:tcW w:type="dxa" w:w="3791"/>
            <w:shd w:fill="003B2C" w:color="003B2C" w:val="solid"/>
            <w:tcMar>
              <w:top w:type="dxa" w:w="80"/>
              <w:left w:type="dxa" w:w="120"/>
              <w:bottom w:type="dxa" w:w="80"/>
              <w:right w:type="dxa" w:w="120"/>
            </w:tcMar>
          </w:tcPr>
          <w:p>
            <w:pPr>
              <w:spacing w:line="240" w:lineRule="auto"/>
            </w:pPr>
            <w:r>
              <w:rPr>
                <w:rFonts w:ascii="Arial" w:cs="Arial" w:eastAsia="Arial" w:hAnsi="Arial"/>
                <w:b/>
                <w:bCs/>
                <w:i w:val="false"/>
                <w:iCs w:val="false"/>
                <w:color w:val="FFFFFF"/>
                <w:sz w:val="16"/>
                <w:szCs w:val="16"/>
              </w:rPr>
              <w:t xml:space="preserve">DESCRIPCIÓN</w:t>
            </w:r>
          </w:p>
        </w:tc>
        <w:tc>
          <w:tcPr>
            <w:tcW w:type="dxa" w:w="1083"/>
            <w:shd w:fill="003B2C" w:color="003B2C" w:val="solid"/>
            <w:tcMar>
              <w:top w:type="dxa" w:w="80"/>
              <w:left w:type="dxa" w:w="120"/>
              <w:bottom w:type="dxa" w:w="80"/>
              <w:right w:type="dxa" w:w="120"/>
            </w:tcMar>
          </w:tcPr>
          <w:p>
            <w:pPr>
              <w:spacing w:line="240" w:lineRule="auto"/>
              <w:jc w:val="center"/>
            </w:pPr>
            <w:r>
              <w:rPr>
                <w:rFonts w:ascii="Arial" w:cs="Arial" w:eastAsia="Arial" w:hAnsi="Arial"/>
                <w:b/>
                <w:bCs/>
                <w:i w:val="false"/>
                <w:iCs w:val="false"/>
                <w:color w:val="FFFFFF"/>
                <w:sz w:val="16"/>
                <w:szCs w:val="16"/>
              </w:rPr>
              <w:t xml:space="preserve">VOLUMEN</w:t>
            </w:r>
          </w:p>
        </w:tc>
        <w:tc>
          <w:tcPr>
            <w:tcW w:type="dxa" w:w="903"/>
            <w:shd w:fill="003B2C" w:color="003B2C" w:val="solid"/>
            <w:tcMar>
              <w:top w:type="dxa" w:w="80"/>
              <w:left w:type="dxa" w:w="120"/>
              <w:bottom w:type="dxa" w:w="80"/>
              <w:right w:type="dxa" w:w="120"/>
            </w:tcMar>
          </w:tcPr>
          <w:p>
            <w:pPr>
              <w:spacing w:line="240" w:lineRule="auto"/>
              <w:jc w:val="center"/>
            </w:pPr>
            <w:r>
              <w:rPr>
                <w:rFonts w:ascii="Arial" w:cs="Arial" w:eastAsia="Arial" w:hAnsi="Arial"/>
                <w:b/>
                <w:bCs/>
                <w:i w:val="false"/>
                <w:iCs w:val="false"/>
                <w:color w:val="FFFFFF"/>
                <w:sz w:val="16"/>
                <w:szCs w:val="16"/>
              </w:rPr>
              <w:t xml:space="preserve">FECHA</w:t>
            </w:r>
          </w:p>
        </w:tc>
        <w:tc>
          <w:tcPr>
            <w:tcW w:type="dxa" w:w="1624"/>
            <w:shd w:fill="003B2C" w:color="003B2C" w:val="solid"/>
            <w:tcMar>
              <w:top w:type="dxa" w:w="80"/>
              <w:left w:type="dxa" w:w="120"/>
              <w:bottom w:type="dxa" w:w="80"/>
              <w:right w:type="dxa" w:w="120"/>
            </w:tcMar>
          </w:tcPr>
          <w:p>
            <w:pPr>
              <w:spacing w:line="240" w:lineRule="auto"/>
            </w:pPr>
            <w:r>
              <w:rPr>
                <w:rFonts w:ascii="Arial" w:cs="Arial" w:eastAsia="Arial" w:hAnsi="Arial"/>
                <w:b/>
                <w:bCs/>
                <w:i w:val="false"/>
                <w:iCs w:val="false"/>
                <w:color w:val="FFFFFF"/>
                <w:sz w:val="16"/>
                <w:szCs w:val="16"/>
              </w:rPr>
              <w:t xml:space="preserve">FUENTE</w:t>
            </w:r>
          </w:p>
        </w:tc>
      </w:tr>
      <w:tr>
        <w:tc>
          <w:tcPr>
            <w:tcW w:type="dxa" w:w="9026"/>
            <w:gridSpan w:val="5"/>
            <w:shd w:fill="F0F5F2" w:color="F0F5F2" w:val="solid"/>
            <w:tcMar>
              <w:top w:type="dxa" w:w="80"/>
              <w:left w:type="dxa" w:w="120"/>
              <w:bottom w:type="dxa" w:w="80"/>
              <w:right w:type="dxa" w:w="120"/>
            </w:tcMar>
          </w:tcPr>
          <w:p>
            <w:pPr>
              <w:spacing w:line="240" w:lineRule="auto"/>
            </w:pPr>
            <w:r>
              <w:rPr>
                <w:rFonts w:ascii="Arial" w:cs="Arial" w:eastAsia="Arial" w:hAnsi="Arial"/>
                <w:b/>
                <w:bCs/>
                <w:i w:val="false"/>
                <w:iCs w:val="false"/>
                <w:color w:val="003B2C"/>
                <w:sz w:val="16"/>
                <w:szCs w:val="16"/>
              </w:rPr>
              <w:t xml:space="preserve">TMT</w:t>
            </w:r>
          </w:p>
        </w:tc>
      </w:tr>
      <w:tr>
        <w:tc>
          <w:tcPr>
            <w:tcW w:type="dxa" w:w="1625"/>
            <w:shd w:fill="FFFFFF" w:color="FFFFFF" w:val="solid"/>
            <w:tcMar>
              <w:top w:type="dxa" w:w="80"/>
              <w:left w:type="dxa" w:w="120"/>
              <w:bottom w:type="dxa" w:w="80"/>
              <w:right w:type="dxa" w:w="120"/>
            </w:tcMar>
          </w:tcPr>
          <w:p>
            <w:pPr>
              <w:spacing w:line="240" w:lineRule="auto"/>
            </w:pPr>
            <w:r>
              <w:rPr>
                <w:rFonts w:ascii="Arial" w:cs="Arial" w:eastAsia="Arial" w:hAnsi="Arial"/>
                <w:b/>
                <w:bCs/>
                <w:i w:val="false"/>
                <w:iCs w:val="false"/>
                <w:color w:val="1A1A1A"/>
                <w:sz w:val="16"/>
                <w:szCs w:val="16"/>
              </w:rPr>
              <w:t xml:space="preserve">Adquisición de Aligned Data Centers por BlackRock GIP y MGX</w:t>
            </w:r>
          </w:p>
        </w:tc>
        <w:tc>
          <w:tcPr>
            <w:tcW w:type="dxa" w:w="3791"/>
            <w:shd w:fill="FFFFFF" w:color="FFFFFF" w:val="solid"/>
            <w:tcMar>
              <w:top w:type="dxa" w:w="80"/>
              <w:left w:type="dxa" w:w="120"/>
              <w:bottom w:type="dxa" w:w="80"/>
              <w:right w:type="dxa" w:w="120"/>
            </w:tcMar>
          </w:tcPr>
          <w:p>
            <w:pPr>
              <w:spacing w:line="240" w:lineRule="auto"/>
            </w:pPr>
            <w:r>
              <w:rPr>
                <w:rFonts w:ascii="Arial" w:cs="Arial" w:eastAsia="Arial" w:hAnsi="Arial"/>
                <w:b w:val="false"/>
                <w:bCs w:val="false"/>
                <w:i w:val="false"/>
                <w:iCs w:val="false"/>
                <w:color w:val="1A1A1A"/>
                <w:sz w:val="16"/>
                <w:szCs w:val="16"/>
              </w:rPr>
              <w:t xml:space="preserve">BlackRock's Global Infrastructure Partners (GIP) y el fondo soberano emiratí MGX lideraron la adquisición de Aligned Data Centers, operador de centros de datos hiperescala, por un valor total de $40.000M, con la participación estratégica de Microsoft, Nvidia y xAI de Elon Musk como co-inversores. La transacción, anunciada en octubre de 2025, implicó la compra a Macquarie Asset Management, que había adquirido la plataforma en años anteriores. Desde el punto de vista estructural, la operación combina equity de infraestructura de largo plazo con capital estratégico tecnológico, reflejando la convergencia entre activos reales digitales y la cadena de suministro de IA. El driver estratégico central es la demanda exponencial de capacidad de cómputo para modelos de lenguaje de gran escala y workloads de IA generativa. Se trata de la mayor operación de centros de datos registrada a nivel global, y establece un nuevo benchmark de valoración para activos de infraestructura digital con contratos de arrendamiento a largo plazo (NNN leases).</w:t>
            </w:r>
          </w:p>
        </w:tc>
        <w:tc>
          <w:tcPr>
            <w:tcW w:type="dxa" w:w="1083"/>
            <w:shd w:fill="FFFFFF" w:color="FFFFFF" w:val="solid"/>
            <w:tcMar>
              <w:top w:type="dxa" w:w="80"/>
              <w:left w:type="dxa" w:w="120"/>
              <w:bottom w:type="dxa" w:w="80"/>
              <w:right w:type="dxa" w:w="120"/>
            </w:tcMar>
          </w:tcPr>
          <w:p>
            <w:pPr>
              <w:spacing w:line="240" w:lineRule="auto"/>
              <w:jc w:val="center"/>
            </w:pPr>
            <w:r>
              <w:rPr>
                <w:rFonts w:ascii="Arial" w:cs="Arial" w:eastAsia="Arial" w:hAnsi="Arial"/>
                <w:b/>
                <w:bCs/>
                <w:i w:val="false"/>
                <w:iCs w:val="false"/>
                <w:color w:val="1A1A1A"/>
                <w:sz w:val="16"/>
                <w:szCs w:val="16"/>
              </w:rPr>
              <w:t xml:space="preserve">€37.200M</w:t>
            </w:r>
          </w:p>
        </w:tc>
        <w:tc>
          <w:tcPr>
            <w:tcW w:type="dxa" w:w="903"/>
            <w:shd w:fill="FFFFFF" w:color="FFFFFF" w:val="solid"/>
            <w:tcMar>
              <w:top w:type="dxa" w:w="80"/>
              <w:left w:type="dxa" w:w="120"/>
              <w:bottom w:type="dxa" w:w="80"/>
              <w:right w:type="dxa" w:w="120"/>
            </w:tcMar>
          </w:tcPr>
          <w:p>
            <w:pPr>
              <w:spacing w:line="240" w:lineRule="auto"/>
              <w:jc w:val="center"/>
            </w:pPr>
            <w:r>
              <w:rPr>
                <w:rFonts w:ascii="Arial" w:cs="Arial" w:eastAsia="Arial" w:hAnsi="Arial"/>
                <w:b w:val="false"/>
                <w:bCs w:val="false"/>
                <w:i w:val="false"/>
                <w:iCs w:val="false"/>
                <w:color w:val="1A1A1A"/>
                <w:sz w:val="16"/>
                <w:szCs w:val="16"/>
              </w:rPr>
              <w:t xml:space="preserve">Octubre 2025</w:t>
            </w:r>
          </w:p>
        </w:tc>
        <w:tc>
          <w:tcPr>
            <w:tcW w:type="dxa" w:w="1624"/>
            <w:shd w:fill="FFFFFF" w:color="FFFFFF" w:val="solid"/>
            <w:tcMar>
              <w:top w:type="dxa" w:w="80"/>
              <w:left w:type="dxa" w:w="120"/>
              <w:bottom w:type="dxa" w:w="80"/>
              <w:right w:type="dxa" w:w="120"/>
            </w:tcMar>
          </w:tcPr>
          <w:p>
            <w:pPr>
              <w:spacing w:line="240" w:lineRule="auto"/>
            </w:pPr>
            <w:r>
              <w:rPr>
                <w:rFonts w:ascii="Arial" w:cs="Arial" w:eastAsia="Arial" w:hAnsi="Arial"/>
                <w:b w:val="false"/>
                <w:bCs w:val="false"/>
                <w:i/>
                <w:iCs/>
                <w:color w:val="666666"/>
                <w:sz w:val="16"/>
                <w:szCs w:val="16"/>
              </w:rPr>
              <w:t xml:space="preserve">Bloomberg; Reuters; Financial Times; Yahoo Finance M&amp;A 2025 recap [Verificación pendiente tipo de cambio €/$]</w:t>
            </w:r>
          </w:p>
        </w:tc>
      </w:tr>
      <w:tr>
        <w:tc>
          <w:tcPr>
            <w:tcW w:type="dxa" w:w="1625"/>
            <w:shd w:fill="FFFFFF" w:color="FFFFFF" w:val="solid"/>
            <w:tcMar>
              <w:top w:type="dxa" w:w="80"/>
              <w:left w:type="dxa" w:w="120"/>
              <w:bottom w:type="dxa" w:w="80"/>
              <w:right w:type="dxa" w:w="120"/>
            </w:tcMar>
          </w:tcPr>
          <w:p>
            <w:pPr>
              <w:spacing w:line="240" w:lineRule="auto"/>
            </w:pPr>
            <w:r>
              <w:rPr>
                <w:rFonts w:ascii="Arial" w:cs="Arial" w:eastAsia="Arial" w:hAnsi="Arial"/>
                <w:b/>
                <w:bCs/>
                <w:i w:val="false"/>
                <w:iCs w:val="false"/>
                <w:color w:val="1A1A1A"/>
                <w:sz w:val="16"/>
                <w:szCs w:val="16"/>
              </w:rPr>
              <w:t xml:space="preserve">Adquisición de activos streaming de Warner Bros. por Netflix</w:t>
            </w:r>
          </w:p>
        </w:tc>
        <w:tc>
          <w:tcPr>
            <w:tcW w:type="dxa" w:w="3791"/>
            <w:shd w:fill="FFFFFF" w:color="FFFFFF" w:val="solid"/>
            <w:tcMar>
              <w:top w:type="dxa" w:w="80"/>
              <w:left w:type="dxa" w:w="120"/>
              <w:bottom w:type="dxa" w:w="80"/>
              <w:right w:type="dxa" w:w="120"/>
            </w:tcMar>
          </w:tcPr>
          <w:p>
            <w:pPr>
              <w:spacing w:line="240" w:lineRule="auto"/>
            </w:pPr>
            <w:r>
              <w:rPr>
                <w:rFonts w:ascii="Arial" w:cs="Arial" w:eastAsia="Arial" w:hAnsi="Arial"/>
                <w:b w:val="false"/>
                <w:bCs w:val="false"/>
                <w:i w:val="false"/>
                <w:iCs w:val="false"/>
                <w:color w:val="1A1A1A"/>
                <w:sz w:val="16"/>
                <w:szCs w:val="16"/>
              </w:rPr>
              <w:t xml:space="preserve">Netflix presentó una propuesta de adquisición de los activos de cine y streaming de Warner Bros. por un valor de equity de $72.000M, en el contexto de una consolidación acelerada del sector de entretenimiento digital impulsada por la fragmentación de audiencias y la presión sobre márgenes publicitarios. La operación representa uno de los movimientos estratégicos de mayor envergadura en la industria del streaming desde la fusión AT&amp;T-Time Warner, y se produce en un entorno de compresión de múltiplos en el sector media. Desde el punto de vista estructural, implica una combinación compleja de activos de contenido, propiedad intelectual y derechos de distribución globales, con sinergias esperadas en reducción de costes de producción y apalancamiento de la biblioteca de contenidos. El impacto de mercado es significativo, con repercusiones sobre valoraciones de otros actores del sector (Disney+, Amazon Prime, Apple TV+). Para CIB, la operación genera fees de asesoramiento M&amp;A, estructuración y financiación de una de las mayores transacciones mediáticas del periodo.</w:t>
            </w:r>
          </w:p>
        </w:tc>
        <w:tc>
          <w:tcPr>
            <w:tcW w:type="dxa" w:w="1083"/>
            <w:shd w:fill="FFFFFF" w:color="FFFFFF" w:val="solid"/>
            <w:tcMar>
              <w:top w:type="dxa" w:w="80"/>
              <w:left w:type="dxa" w:w="120"/>
              <w:bottom w:type="dxa" w:w="80"/>
              <w:right w:type="dxa" w:w="120"/>
            </w:tcMar>
          </w:tcPr>
          <w:p>
            <w:pPr>
              <w:spacing w:line="240" w:lineRule="auto"/>
              <w:jc w:val="center"/>
            </w:pPr>
            <w:r>
              <w:rPr>
                <w:rFonts w:ascii="Arial" w:cs="Arial" w:eastAsia="Arial" w:hAnsi="Arial"/>
                <w:b/>
                <w:bCs/>
                <w:i w:val="false"/>
                <w:iCs w:val="false"/>
                <w:color w:val="1A1A1A"/>
                <w:sz w:val="16"/>
                <w:szCs w:val="16"/>
              </w:rPr>
              <w:t xml:space="preserve">€67.000M</w:t>
            </w:r>
          </w:p>
        </w:tc>
        <w:tc>
          <w:tcPr>
            <w:tcW w:type="dxa" w:w="903"/>
            <w:shd w:fill="FFFFFF" w:color="FFFFFF" w:val="solid"/>
            <w:tcMar>
              <w:top w:type="dxa" w:w="80"/>
              <w:left w:type="dxa" w:w="120"/>
              <w:bottom w:type="dxa" w:w="80"/>
              <w:right w:type="dxa" w:w="120"/>
            </w:tcMar>
          </w:tcPr>
          <w:p>
            <w:pPr>
              <w:spacing w:line="240" w:lineRule="auto"/>
              <w:jc w:val="center"/>
            </w:pPr>
            <w:r>
              <w:rPr>
                <w:rFonts w:ascii="Arial" w:cs="Arial" w:eastAsia="Arial" w:hAnsi="Arial"/>
                <w:b w:val="false"/>
                <w:bCs w:val="false"/>
                <w:i w:val="false"/>
                <w:iCs w:val="false"/>
                <w:color w:val="1A1A1A"/>
                <w:sz w:val="16"/>
                <w:szCs w:val="16"/>
              </w:rPr>
              <w:t xml:space="preserve">2025</w:t>
            </w:r>
          </w:p>
        </w:tc>
        <w:tc>
          <w:tcPr>
            <w:tcW w:type="dxa" w:w="1624"/>
            <w:shd w:fill="FFFFFF" w:color="FFFFFF" w:val="solid"/>
            <w:tcMar>
              <w:top w:type="dxa" w:w="80"/>
              <w:left w:type="dxa" w:w="120"/>
              <w:bottom w:type="dxa" w:w="80"/>
              <w:right w:type="dxa" w:w="120"/>
            </w:tcMar>
          </w:tcPr>
          <w:p>
            <w:pPr>
              <w:spacing w:line="240" w:lineRule="auto"/>
            </w:pPr>
            <w:r>
              <w:rPr>
                <w:rFonts w:ascii="Arial" w:cs="Arial" w:eastAsia="Arial" w:hAnsi="Arial"/>
                <w:b w:val="false"/>
                <w:bCs w:val="false"/>
                <w:i/>
                <w:iCs/>
                <w:color w:val="666666"/>
                <w:sz w:val="16"/>
                <w:szCs w:val="16"/>
              </w:rPr>
              <w:t xml:space="preserve">Bloomberg; Financial Times; Yahoo Finance M&amp;A 2025; IMAA Institute [Verificación pendiente cierre definitivo]</w:t>
            </w:r>
          </w:p>
        </w:tc>
      </w:tr>
      <w:tr>
        <w:tc>
          <w:tcPr>
            <w:tcW w:type="dxa" w:w="1625"/>
            <w:shd w:fill="FFFFFF" w:color="FFFFFF" w:val="solid"/>
            <w:tcMar>
              <w:top w:type="dxa" w:w="80"/>
              <w:left w:type="dxa" w:w="120"/>
              <w:bottom w:type="dxa" w:w="80"/>
              <w:right w:type="dxa" w:w="120"/>
            </w:tcMar>
          </w:tcPr>
          <w:p>
            <w:pPr>
              <w:spacing w:line="240" w:lineRule="auto"/>
            </w:pPr>
            <w:r>
              <w:rPr>
                <w:rFonts w:ascii="Arial" w:cs="Arial" w:eastAsia="Arial" w:hAnsi="Arial"/>
                <w:b/>
                <w:bCs/>
                <w:i w:val="false"/>
                <w:iCs w:val="false"/>
                <w:color w:val="1A1A1A"/>
                <w:sz w:val="16"/>
                <w:szCs w:val="16"/>
              </w:rPr>
              <w:t xml:space="preserve">Adquisición de Electronic Arts por consorcio Silver Lake / PIF / Affinity Partners</w:t>
            </w:r>
          </w:p>
        </w:tc>
        <w:tc>
          <w:tcPr>
            <w:tcW w:type="dxa" w:w="3791"/>
            <w:shd w:fill="FFFFFF" w:color="FFFFFF" w:val="solid"/>
            <w:tcMar>
              <w:top w:type="dxa" w:w="80"/>
              <w:left w:type="dxa" w:w="120"/>
              <w:bottom w:type="dxa" w:w="80"/>
              <w:right w:type="dxa" w:w="120"/>
            </w:tcMar>
          </w:tcPr>
          <w:p>
            <w:pPr>
              <w:spacing w:line="240" w:lineRule="auto"/>
            </w:pPr>
            <w:r>
              <w:rPr>
                <w:rFonts w:ascii="Arial" w:cs="Arial" w:eastAsia="Arial" w:hAnsi="Arial"/>
                <w:b w:val="false"/>
                <w:bCs w:val="false"/>
                <w:i w:val="false"/>
                <w:iCs w:val="false"/>
                <w:color w:val="1A1A1A"/>
                <w:sz w:val="16"/>
                <w:szCs w:val="16"/>
              </w:rPr>
              <w:t xml:space="preserve">Un consorcio formado por Silver Lake, Affinity Partners y el Public Investment Fund (PIF) de Arabia Saudí acordó la adquisición de Electronic Arts (EA), publisher líder en videojuegos, en una operación all-cash valorada en $55.000M, potencialmente el mayor leveraged buyout de la historia. La operación refleja el creciente apetito del capital privado por activos de entretenimiento digital con flujos de ingresos recurrentes (subscripciones, microtransacciones, licencias deportivas) y el interés estratégico de los fondos soberanos del Golfo en el sector de gaming y entretenimiento. Desde el punto de vista de estructuración, la magnitud del equity ticket y el endeudamiento asociado suponen un test de profundidad del mercado de leveraged finance en el contexto de tipos elevados. El driver de valor a largo plazo es la convergencia entre gaming, IA generativa en entretenimiento y derechos deportivos digitales. Para CIB, la operación concentra mandatos de deuda leveraged, equity y asesoramiento cross-border.</w:t>
            </w:r>
          </w:p>
        </w:tc>
        <w:tc>
          <w:tcPr>
            <w:tcW w:type="dxa" w:w="1083"/>
            <w:shd w:fill="FFFFFF" w:color="FFFFFF" w:val="solid"/>
            <w:tcMar>
              <w:top w:type="dxa" w:w="80"/>
              <w:left w:type="dxa" w:w="120"/>
              <w:bottom w:type="dxa" w:w="80"/>
              <w:right w:type="dxa" w:w="120"/>
            </w:tcMar>
          </w:tcPr>
          <w:p>
            <w:pPr>
              <w:spacing w:line="240" w:lineRule="auto"/>
              <w:jc w:val="center"/>
            </w:pPr>
            <w:r>
              <w:rPr>
                <w:rFonts w:ascii="Arial" w:cs="Arial" w:eastAsia="Arial" w:hAnsi="Arial"/>
                <w:b/>
                <w:bCs/>
                <w:i w:val="false"/>
                <w:iCs w:val="false"/>
                <w:color w:val="1A1A1A"/>
                <w:sz w:val="16"/>
                <w:szCs w:val="16"/>
              </w:rPr>
              <w:t xml:space="preserve">€51.200M</w:t>
            </w:r>
          </w:p>
        </w:tc>
        <w:tc>
          <w:tcPr>
            <w:tcW w:type="dxa" w:w="903"/>
            <w:shd w:fill="FFFFFF" w:color="FFFFFF" w:val="solid"/>
            <w:tcMar>
              <w:top w:type="dxa" w:w="80"/>
              <w:left w:type="dxa" w:w="120"/>
              <w:bottom w:type="dxa" w:w="80"/>
              <w:right w:type="dxa" w:w="120"/>
            </w:tcMar>
          </w:tcPr>
          <w:p>
            <w:pPr>
              <w:spacing w:line="240" w:lineRule="auto"/>
              <w:jc w:val="center"/>
            </w:pPr>
            <w:r>
              <w:rPr>
                <w:rFonts w:ascii="Arial" w:cs="Arial" w:eastAsia="Arial" w:hAnsi="Arial"/>
                <w:b w:val="false"/>
                <w:bCs w:val="false"/>
                <w:i w:val="false"/>
                <w:iCs w:val="false"/>
                <w:color w:val="1A1A1A"/>
                <w:sz w:val="16"/>
                <w:szCs w:val="16"/>
              </w:rPr>
              <w:t xml:space="preserve">2025</w:t>
            </w:r>
          </w:p>
        </w:tc>
        <w:tc>
          <w:tcPr>
            <w:tcW w:type="dxa" w:w="1624"/>
            <w:shd w:fill="FFFFFF" w:color="FFFFFF" w:val="solid"/>
            <w:tcMar>
              <w:top w:type="dxa" w:w="80"/>
              <w:left w:type="dxa" w:w="120"/>
              <w:bottom w:type="dxa" w:w="80"/>
              <w:right w:type="dxa" w:w="120"/>
            </w:tcMar>
          </w:tcPr>
          <w:p>
            <w:pPr>
              <w:spacing w:line="240" w:lineRule="auto"/>
            </w:pPr>
            <w:r>
              <w:rPr>
                <w:rFonts w:ascii="Arial" w:cs="Arial" w:eastAsia="Arial" w:hAnsi="Arial"/>
                <w:b w:val="false"/>
                <w:bCs w:val="false"/>
                <w:i/>
                <w:iCs/>
                <w:color w:val="666666"/>
                <w:sz w:val="16"/>
                <w:szCs w:val="16"/>
              </w:rPr>
              <w:t xml:space="preserve">Bloomberg; Reuters; Financial Times; IMAA Institute Top M&amp;A Deals 2025 [Verificación pendiente cierre definitivo]</w:t>
            </w:r>
          </w:p>
        </w:tc>
      </w:tr>
      <w:tr>
        <w:tc>
          <w:tcPr>
            <w:tcW w:type="dxa" w:w="1625"/>
            <w:shd w:fill="FFFFFF" w:color="FFFFFF" w:val="solid"/>
            <w:tcMar>
              <w:top w:type="dxa" w:w="80"/>
              <w:left w:type="dxa" w:w="120"/>
              <w:bottom w:type="dxa" w:w="80"/>
              <w:right w:type="dxa" w:w="120"/>
            </w:tcMar>
          </w:tcPr>
          <w:p>
            <w:pPr>
              <w:spacing w:line="240" w:lineRule="auto"/>
            </w:pPr>
            <w:r>
              <w:rPr>
                <w:rFonts w:ascii="Arial" w:cs="Arial" w:eastAsia="Arial" w:hAnsi="Arial"/>
                <w:b/>
                <w:bCs/>
                <w:i w:val="false"/>
                <w:iCs w:val="false"/>
                <w:color w:val="1A1A1A"/>
                <w:sz w:val="16"/>
                <w:szCs w:val="16"/>
              </w:rPr>
              <w:t xml:space="preserve">Adquisición de Frontier Communications por Verizon</w:t>
            </w:r>
          </w:p>
        </w:tc>
        <w:tc>
          <w:tcPr>
            <w:tcW w:type="dxa" w:w="3791"/>
            <w:shd w:fill="FFFFFF" w:color="FFFFFF" w:val="solid"/>
            <w:tcMar>
              <w:top w:type="dxa" w:w="80"/>
              <w:left w:type="dxa" w:w="120"/>
              <w:bottom w:type="dxa" w:w="80"/>
              <w:right w:type="dxa" w:w="120"/>
            </w:tcMar>
          </w:tcPr>
          <w:p>
            <w:pPr>
              <w:spacing w:line="240" w:lineRule="auto"/>
            </w:pPr>
            <w:r>
              <w:rPr>
                <w:rFonts w:ascii="Arial" w:cs="Arial" w:eastAsia="Arial" w:hAnsi="Arial"/>
                <w:b w:val="false"/>
                <w:bCs w:val="false"/>
                <w:i w:val="false"/>
                <w:iCs w:val="false"/>
                <w:color w:val="1A1A1A"/>
                <w:sz w:val="16"/>
                <w:szCs w:val="16"/>
              </w:rPr>
              <w:t xml:space="preserve">Verizon completó la adquisición de Frontier Communications, proveedor líder de fibra óptica residencial en EE.UU., por $20.000M, consolidando así su posición en el segmento de banda ancha fija y acelerando el despliegue de redes de fibra en mercados suburbanos y rurales. La operación, originalmente anunciada en 2024, requirió la aprobación de la FCC y se materializó tras la revisión de determinadas políticas corporativas de Verizon. Desde el punto de vista estratégico, refleja la convergencia de telecom móvil y fija, y la necesidad de anclar el acceso a redes de fibra ante la creciente demanda de conectividad de alta capacidad para IA, trabajo remoto y streaming. La integración de la base de clientes de Frontier permite a Verizon escalar su oferta convergente y reducir la dependencia del acceso a infraestructura de terceros. Para CIB, la operación generó mandatos de debt capital markets para refinanciación y asesoramiento en la integración de pasivos.</w:t>
            </w:r>
          </w:p>
        </w:tc>
        <w:tc>
          <w:tcPr>
            <w:tcW w:type="dxa" w:w="1083"/>
            <w:shd w:fill="FFFFFF" w:color="FFFFFF" w:val="solid"/>
            <w:tcMar>
              <w:top w:type="dxa" w:w="80"/>
              <w:left w:type="dxa" w:w="120"/>
              <w:bottom w:type="dxa" w:w="80"/>
              <w:right w:type="dxa" w:w="120"/>
            </w:tcMar>
          </w:tcPr>
          <w:p>
            <w:pPr>
              <w:spacing w:line="240" w:lineRule="auto"/>
              <w:jc w:val="center"/>
            </w:pPr>
            <w:r>
              <w:rPr>
                <w:rFonts w:ascii="Arial" w:cs="Arial" w:eastAsia="Arial" w:hAnsi="Arial"/>
                <w:b/>
                <w:bCs/>
                <w:i w:val="false"/>
                <w:iCs w:val="false"/>
                <w:color w:val="1A1A1A"/>
                <w:sz w:val="16"/>
                <w:szCs w:val="16"/>
              </w:rPr>
              <w:t xml:space="preserve">€18.600M</w:t>
            </w:r>
          </w:p>
        </w:tc>
        <w:tc>
          <w:tcPr>
            <w:tcW w:type="dxa" w:w="903"/>
            <w:shd w:fill="FFFFFF" w:color="FFFFFF" w:val="solid"/>
            <w:tcMar>
              <w:top w:type="dxa" w:w="80"/>
              <w:left w:type="dxa" w:w="120"/>
              <w:bottom w:type="dxa" w:w="80"/>
              <w:right w:type="dxa" w:w="120"/>
            </w:tcMar>
          </w:tcPr>
          <w:p>
            <w:pPr>
              <w:spacing w:line="240" w:lineRule="auto"/>
              <w:jc w:val="center"/>
            </w:pPr>
            <w:r>
              <w:rPr>
                <w:rFonts w:ascii="Arial" w:cs="Arial" w:eastAsia="Arial" w:hAnsi="Arial"/>
                <w:b w:val="false"/>
                <w:bCs w:val="false"/>
                <w:i w:val="false"/>
                <w:iCs w:val="false"/>
                <w:color w:val="1A1A1A"/>
                <w:sz w:val="16"/>
                <w:szCs w:val="16"/>
              </w:rPr>
              <w:t xml:space="preserve">2025</w:t>
            </w:r>
          </w:p>
        </w:tc>
        <w:tc>
          <w:tcPr>
            <w:tcW w:type="dxa" w:w="1624"/>
            <w:shd w:fill="FFFFFF" w:color="FFFFFF" w:val="solid"/>
            <w:tcMar>
              <w:top w:type="dxa" w:w="80"/>
              <w:left w:type="dxa" w:w="120"/>
              <w:bottom w:type="dxa" w:w="80"/>
              <w:right w:type="dxa" w:w="120"/>
            </w:tcMar>
          </w:tcPr>
          <w:p>
            <w:pPr>
              <w:spacing w:line="240" w:lineRule="auto"/>
            </w:pPr>
            <w:r>
              <w:rPr>
                <w:rFonts w:ascii="Arial" w:cs="Arial" w:eastAsia="Arial" w:hAnsi="Arial"/>
                <w:b w:val="false"/>
                <w:bCs w:val="false"/>
                <w:i/>
                <w:iCs/>
                <w:color w:val="666666"/>
                <w:sz w:val="16"/>
                <w:szCs w:val="16"/>
              </w:rPr>
              <w:t xml:space="preserve">Bloomberg; Reuters; Financial Times; CNBC Wall Street Deals 2025</w:t>
            </w:r>
          </w:p>
        </w:tc>
      </w:tr>
      <w:tr>
        <w:tc>
          <w:tcPr>
            <w:tcW w:type="dxa" w:w="1625"/>
            <w:shd w:fill="FFFFFF" w:color="FFFFFF" w:val="solid"/>
            <w:tcMar>
              <w:top w:type="dxa" w:w="80"/>
              <w:left w:type="dxa" w:w="120"/>
              <w:bottom w:type="dxa" w:w="80"/>
              <w:right w:type="dxa" w:w="120"/>
            </w:tcMar>
          </w:tcPr>
          <w:p>
            <w:pPr>
              <w:spacing w:line="240" w:lineRule="auto"/>
            </w:pPr>
            <w:r>
              <w:rPr>
                <w:rFonts w:ascii="Arial" w:cs="Arial" w:eastAsia="Arial" w:hAnsi="Arial"/>
                <w:b/>
                <w:bCs/>
                <w:i w:val="false"/>
                <w:iCs w:val="false"/>
                <w:color w:val="1A1A1A"/>
                <w:sz w:val="16"/>
                <w:szCs w:val="16"/>
              </w:rPr>
              <w:t xml:space="preserve">Ronda de financiación OpenAI ($40.000M) – mayor ronda privada tech de la historia</w:t>
            </w:r>
          </w:p>
        </w:tc>
        <w:tc>
          <w:tcPr>
            <w:tcW w:type="dxa" w:w="3791"/>
            <w:shd w:fill="FFFFFF" w:color="FFFFFF" w:val="solid"/>
            <w:tcMar>
              <w:top w:type="dxa" w:w="80"/>
              <w:left w:type="dxa" w:w="120"/>
              <w:bottom w:type="dxa" w:w="80"/>
              <w:right w:type="dxa" w:w="120"/>
            </w:tcMar>
          </w:tcPr>
          <w:p>
            <w:pPr>
              <w:spacing w:line="240" w:lineRule="auto"/>
            </w:pPr>
            <w:r>
              <w:rPr>
                <w:rFonts w:ascii="Arial" w:cs="Arial" w:eastAsia="Arial" w:hAnsi="Arial"/>
                <w:b w:val="false"/>
                <w:bCs w:val="false"/>
                <w:i w:val="false"/>
                <w:iCs w:val="false"/>
                <w:color w:val="1A1A1A"/>
                <w:sz w:val="16"/>
                <w:szCs w:val="16"/>
              </w:rPr>
              <w:t xml:space="preserve">OpenAI cerró en marzo de 2025 la mayor ronda de financiación privada registrada en la historia tecnológica, captando $40.000M con una valoración de $300.000M, liderada por SoftBank y con participación de fondos soberanos y gestoras globales. Posteriormente, en octubre de 2025, completó una venta secundaria de participaciones por $6.600M que elevó la valoración a $500.000M, superando a SpaceX como la empresa privada de mayor valor a nivel mundial. La transacción, aunque no es un M&amp;A convencional, tiene implicaciones directas para el conjunto de industrias cubiertas por CIB: acelera la adopción de IA generativa en sectores como healthcare, finanzas, defensa, distribución y servicios de ingeniería. Desde el punto de vista de capital markets, establece precedentes de valoración para activos de IA puros y cataliza el pipeline de IPO tech previsto para 2026. Para CIB, la operación plantea oportunidades en asesoramiento de estructuras de capital complejas, secondary sales y preparación para salida a bolsa.</w:t>
            </w:r>
          </w:p>
        </w:tc>
        <w:tc>
          <w:tcPr>
            <w:tcW w:type="dxa" w:w="1083"/>
            <w:shd w:fill="FFFFFF" w:color="FFFFFF" w:val="solid"/>
            <w:tcMar>
              <w:top w:type="dxa" w:w="80"/>
              <w:left w:type="dxa" w:w="120"/>
              <w:bottom w:type="dxa" w:w="80"/>
              <w:right w:type="dxa" w:w="120"/>
            </w:tcMar>
          </w:tcPr>
          <w:p>
            <w:pPr>
              <w:spacing w:line="240" w:lineRule="auto"/>
              <w:jc w:val="center"/>
            </w:pPr>
            <w:r>
              <w:rPr>
                <w:rFonts w:ascii="Arial" w:cs="Arial" w:eastAsia="Arial" w:hAnsi="Arial"/>
                <w:b/>
                <w:bCs/>
                <w:i w:val="false"/>
                <w:iCs w:val="false"/>
                <w:color w:val="1A1A1A"/>
                <w:sz w:val="16"/>
                <w:szCs w:val="16"/>
              </w:rPr>
              <w:t xml:space="preserve">€37.200M</w:t>
            </w:r>
          </w:p>
        </w:tc>
        <w:tc>
          <w:tcPr>
            <w:tcW w:type="dxa" w:w="903"/>
            <w:shd w:fill="FFFFFF" w:color="FFFFFF" w:val="solid"/>
            <w:tcMar>
              <w:top w:type="dxa" w:w="80"/>
              <w:left w:type="dxa" w:w="120"/>
              <w:bottom w:type="dxa" w:w="80"/>
              <w:right w:type="dxa" w:w="120"/>
            </w:tcMar>
          </w:tcPr>
          <w:p>
            <w:pPr>
              <w:spacing w:line="240" w:lineRule="auto"/>
              <w:jc w:val="center"/>
            </w:pPr>
            <w:r>
              <w:rPr>
                <w:rFonts w:ascii="Arial" w:cs="Arial" w:eastAsia="Arial" w:hAnsi="Arial"/>
                <w:b w:val="false"/>
                <w:bCs w:val="false"/>
                <w:i w:val="false"/>
                <w:iCs w:val="false"/>
                <w:color w:val="1A1A1A"/>
                <w:sz w:val="16"/>
                <w:szCs w:val="16"/>
              </w:rPr>
              <w:t xml:space="preserve">Marzo 2025</w:t>
            </w:r>
          </w:p>
        </w:tc>
        <w:tc>
          <w:tcPr>
            <w:tcW w:type="dxa" w:w="1624"/>
            <w:shd w:fill="FFFFFF" w:color="FFFFFF" w:val="solid"/>
            <w:tcMar>
              <w:top w:type="dxa" w:w="80"/>
              <w:left w:type="dxa" w:w="120"/>
              <w:bottom w:type="dxa" w:w="80"/>
              <w:right w:type="dxa" w:w="120"/>
            </w:tcMar>
          </w:tcPr>
          <w:p>
            <w:pPr>
              <w:spacing w:line="240" w:lineRule="auto"/>
            </w:pPr>
            <w:r>
              <w:rPr>
                <w:rFonts w:ascii="Arial" w:cs="Arial" w:eastAsia="Arial" w:hAnsi="Arial"/>
                <w:b w:val="false"/>
                <w:bCs w:val="false"/>
                <w:i/>
                <w:iCs/>
                <w:color w:val="666666"/>
                <w:sz w:val="16"/>
                <w:szCs w:val="16"/>
              </w:rPr>
              <w:t xml:space="preserve">Bloomberg; Financial Times; Reuters; J.P. Morgan Global Dealmaking Trends 2025; Goldman Sachs Investment Backdrop 2026</w:t>
            </w:r>
          </w:p>
        </w:tc>
      </w:tr>
      <w:tr>
        <w:tc>
          <w:tcPr>
            <w:tcW w:type="dxa" w:w="9026"/>
            <w:gridSpan w:val="5"/>
            <w:shd w:fill="F0F5F2" w:color="F0F5F2" w:val="solid"/>
            <w:tcMar>
              <w:top w:type="dxa" w:w="80"/>
              <w:left w:type="dxa" w:w="120"/>
              <w:bottom w:type="dxa" w:w="80"/>
              <w:right w:type="dxa" w:w="120"/>
            </w:tcMar>
          </w:tcPr>
          <w:p>
            <w:pPr>
              <w:spacing w:line="240" w:lineRule="auto"/>
            </w:pPr>
            <w:r>
              <w:rPr>
                <w:rFonts w:ascii="Arial" w:cs="Arial" w:eastAsia="Arial" w:hAnsi="Arial"/>
                <w:b/>
                <w:bCs/>
                <w:i w:val="false"/>
                <w:iCs w:val="false"/>
                <w:color w:val="003B2C"/>
                <w:sz w:val="16"/>
                <w:szCs w:val="16"/>
              </w:rPr>
              <w:t xml:space="preserve">TRANSPORTE</w:t>
            </w:r>
          </w:p>
        </w:tc>
      </w:tr>
      <w:tr>
        <w:tc>
          <w:tcPr>
            <w:tcW w:type="dxa" w:w="1625"/>
            <w:shd w:fill="FFFFFF" w:color="FFFFFF" w:val="solid"/>
            <w:tcMar>
              <w:top w:type="dxa" w:w="80"/>
              <w:left w:type="dxa" w:w="120"/>
              <w:bottom w:type="dxa" w:w="80"/>
              <w:right w:type="dxa" w:w="120"/>
            </w:tcMar>
          </w:tcPr>
          <w:p>
            <w:pPr>
              <w:spacing w:line="240" w:lineRule="auto"/>
            </w:pPr>
            <w:r>
              <w:rPr>
                <w:rFonts w:ascii="Arial" w:cs="Arial" w:eastAsia="Arial" w:hAnsi="Arial"/>
                <w:b/>
                <w:bCs/>
                <w:i w:val="false"/>
                <w:iCs w:val="false"/>
                <w:color w:val="1A1A1A"/>
                <w:sz w:val="16"/>
                <w:szCs w:val="16"/>
              </w:rPr>
              <w:t xml:space="preserve">Fusión ferroviaria Union Pacific – Norfolk Southern</w:t>
            </w:r>
          </w:p>
        </w:tc>
        <w:tc>
          <w:tcPr>
            <w:tcW w:type="dxa" w:w="3791"/>
            <w:shd w:fill="FFFFFF" w:color="FFFFFF" w:val="solid"/>
            <w:tcMar>
              <w:top w:type="dxa" w:w="80"/>
              <w:left w:type="dxa" w:w="120"/>
              <w:bottom w:type="dxa" w:w="80"/>
              <w:right w:type="dxa" w:w="120"/>
            </w:tcMar>
          </w:tcPr>
          <w:p>
            <w:pPr>
              <w:spacing w:line="240" w:lineRule="auto"/>
            </w:pPr>
            <w:r>
              <w:rPr>
                <w:rFonts w:ascii="Arial" w:cs="Arial" w:eastAsia="Arial" w:hAnsi="Arial"/>
                <w:b w:val="false"/>
                <w:bCs w:val="false"/>
                <w:i w:val="false"/>
                <w:iCs w:val="false"/>
                <w:color w:val="1A1A1A"/>
                <w:sz w:val="16"/>
                <w:szCs w:val="16"/>
              </w:rPr>
              <w:t xml:space="preserve">Union Pacific y Norfolk Southern anunciaron en julio de 2025 una fusión de $88.260M (incluyendo deuda), configurando la mayor combinación ferroviaria de la historia de EE.UU. y creando una red que cubriría la práctica totalidad del territorio continental norteamericano. La estructura de la operación es un all-stock merger, con una prima sustancial que refleja las sinergias esperadas en eficiencia operativa, reducción de costes de red y optimización de capacidad de carga. El driver estratégico es la consolidación del transporte de mercancías ante la presión competitiva del transporte por carretera y la necesidad de inversión en infraestructura ferroviaria verde. La operación está sujeta a aprobación regulatoria del Surface Transportation Board (STB), con expectativas de revisión prolongada dado el impacto en competencia sectorial. Para CIB, la operación generó mandatos de asesoramiento financiero, financiación de adquisición y emisión de deuda de refinanciación de envergadura.</w:t>
            </w:r>
          </w:p>
        </w:tc>
        <w:tc>
          <w:tcPr>
            <w:tcW w:type="dxa" w:w="1083"/>
            <w:shd w:fill="FFFFFF" w:color="FFFFFF" w:val="solid"/>
            <w:tcMar>
              <w:top w:type="dxa" w:w="80"/>
              <w:left w:type="dxa" w:w="120"/>
              <w:bottom w:type="dxa" w:w="80"/>
              <w:right w:type="dxa" w:w="120"/>
            </w:tcMar>
          </w:tcPr>
          <w:p>
            <w:pPr>
              <w:spacing w:line="240" w:lineRule="auto"/>
              <w:jc w:val="center"/>
            </w:pPr>
            <w:r>
              <w:rPr>
                <w:rFonts w:ascii="Arial" w:cs="Arial" w:eastAsia="Arial" w:hAnsi="Arial"/>
                <w:b/>
                <w:bCs/>
                <w:i w:val="false"/>
                <w:iCs w:val="false"/>
                <w:color w:val="1A1A1A"/>
                <w:sz w:val="16"/>
                <w:szCs w:val="16"/>
              </w:rPr>
              <w:t xml:space="preserve">€82.100M</w:t>
            </w:r>
          </w:p>
        </w:tc>
        <w:tc>
          <w:tcPr>
            <w:tcW w:type="dxa" w:w="903"/>
            <w:shd w:fill="FFFFFF" w:color="FFFFFF" w:val="solid"/>
            <w:tcMar>
              <w:top w:type="dxa" w:w="80"/>
              <w:left w:type="dxa" w:w="120"/>
              <w:bottom w:type="dxa" w:w="80"/>
              <w:right w:type="dxa" w:w="120"/>
            </w:tcMar>
          </w:tcPr>
          <w:p>
            <w:pPr>
              <w:spacing w:line="240" w:lineRule="auto"/>
              <w:jc w:val="center"/>
            </w:pPr>
            <w:r>
              <w:rPr>
                <w:rFonts w:ascii="Arial" w:cs="Arial" w:eastAsia="Arial" w:hAnsi="Arial"/>
                <w:b w:val="false"/>
                <w:bCs w:val="false"/>
                <w:i w:val="false"/>
                <w:iCs w:val="false"/>
                <w:color w:val="1A1A1A"/>
                <w:sz w:val="16"/>
                <w:szCs w:val="16"/>
              </w:rPr>
              <w:t xml:space="preserve">Julio 2025</w:t>
            </w:r>
          </w:p>
        </w:tc>
        <w:tc>
          <w:tcPr>
            <w:tcW w:type="dxa" w:w="1624"/>
            <w:shd w:fill="FFFFFF" w:color="FFFFFF" w:val="solid"/>
            <w:tcMar>
              <w:top w:type="dxa" w:w="80"/>
              <w:left w:type="dxa" w:w="120"/>
              <w:bottom w:type="dxa" w:w="80"/>
              <w:right w:type="dxa" w:w="120"/>
            </w:tcMar>
          </w:tcPr>
          <w:p>
            <w:pPr>
              <w:spacing w:line="240" w:lineRule="auto"/>
            </w:pPr>
            <w:r>
              <w:rPr>
                <w:rFonts w:ascii="Arial" w:cs="Arial" w:eastAsia="Arial" w:hAnsi="Arial"/>
                <w:b w:val="false"/>
                <w:bCs w:val="false"/>
                <w:i/>
                <w:iCs/>
                <w:color w:val="666666"/>
                <w:sz w:val="16"/>
                <w:szCs w:val="16"/>
              </w:rPr>
              <w:t xml:space="preserve">Bloomberg; Financial Times; Reuters; IMAA Institute Top Global M&amp;A Deals 2025 [Verificación pendiente aprobación regulatoria final]</w:t>
            </w:r>
          </w:p>
        </w:tc>
      </w:tr>
      <w:tr>
        <w:tc>
          <w:tcPr>
            <w:tcW w:type="dxa" w:w="9026"/>
            <w:gridSpan w:val="5"/>
            <w:shd w:fill="F0F5F2" w:color="F0F5F2" w:val="solid"/>
            <w:tcMar>
              <w:top w:type="dxa" w:w="80"/>
              <w:left w:type="dxa" w:w="120"/>
              <w:bottom w:type="dxa" w:w="80"/>
              <w:right w:type="dxa" w:w="120"/>
            </w:tcMar>
          </w:tcPr>
          <w:p>
            <w:pPr>
              <w:spacing w:line="240" w:lineRule="auto"/>
            </w:pPr>
            <w:r>
              <w:rPr>
                <w:rFonts w:ascii="Arial" w:cs="Arial" w:eastAsia="Arial" w:hAnsi="Arial"/>
                <w:b/>
                <w:bCs/>
                <w:i w:val="false"/>
                <w:iCs w:val="false"/>
                <w:color w:val="003B2C"/>
                <w:sz w:val="16"/>
                <w:szCs w:val="16"/>
              </w:rPr>
              <w:t xml:space="preserve">DISTRIBUCIÓN &amp; BIENES DE CONSUMO</w:t>
            </w:r>
          </w:p>
        </w:tc>
      </w:tr>
      <w:tr>
        <w:tc>
          <w:tcPr>
            <w:tcW w:type="dxa" w:w="1625"/>
            <w:shd w:fill="FFFFFF" w:color="FFFFFF" w:val="solid"/>
            <w:tcMar>
              <w:top w:type="dxa" w:w="80"/>
              <w:left w:type="dxa" w:w="120"/>
              <w:bottom w:type="dxa" w:w="80"/>
              <w:right w:type="dxa" w:w="120"/>
            </w:tcMar>
          </w:tcPr>
          <w:p>
            <w:pPr>
              <w:spacing w:line="240" w:lineRule="auto"/>
            </w:pPr>
            <w:r>
              <w:rPr>
                <w:rFonts w:ascii="Arial" w:cs="Arial" w:eastAsia="Arial" w:hAnsi="Arial"/>
                <w:b/>
                <w:bCs/>
                <w:i w:val="false"/>
                <w:iCs w:val="false"/>
                <w:color w:val="1A1A1A"/>
                <w:sz w:val="16"/>
                <w:szCs w:val="16"/>
              </w:rPr>
              <w:t xml:space="preserve">Adquisición de Kenvue por Kimberly-Clark</w:t>
            </w:r>
          </w:p>
        </w:tc>
        <w:tc>
          <w:tcPr>
            <w:tcW w:type="dxa" w:w="3791"/>
            <w:shd w:fill="FFFFFF" w:color="FFFFFF" w:val="solid"/>
            <w:tcMar>
              <w:top w:type="dxa" w:w="80"/>
              <w:left w:type="dxa" w:w="120"/>
              <w:bottom w:type="dxa" w:w="80"/>
              <w:right w:type="dxa" w:w="120"/>
            </w:tcMar>
          </w:tcPr>
          <w:p>
            <w:pPr>
              <w:spacing w:line="240" w:lineRule="auto"/>
            </w:pPr>
            <w:r>
              <w:rPr>
                <w:rFonts w:ascii="Arial" w:cs="Arial" w:eastAsia="Arial" w:hAnsi="Arial"/>
                <w:b w:val="false"/>
                <w:bCs w:val="false"/>
                <w:i w:val="false"/>
                <w:iCs w:val="false"/>
                <w:color w:val="1A1A1A"/>
                <w:sz w:val="16"/>
                <w:szCs w:val="16"/>
              </w:rPr>
              <w:t xml:space="preserve">Kimberly-Clark anunció la adquisición de Kenvue —escindida de Johnson &amp; Johnson en 2023 y propietaria de marcas como Tylenol, Neutrogena, Listerine y Band-Aid— por $48.700M, creando una compañía combinada de $32.000M de ingresos anuales y liderazgo global en salud del consumidor y cuidado personal. La transacción evidencia la convergencia estratégica entre bienes de consumo empaquetados y healthcare OTC (over-the-counter), en un contexto de búsqueda de escala por parte de los grandes fabricantes ante la presión de distribuidores y marcas propias. La estructura financiera combina efectivo y deuda, con una prima que refleja la calidad y fortaleza de las marcas de Kenvue. El impacto de mercado es relevante en el segmento de consumer health, con presión de reposicionamiento para competidores como Reckitt, Haleon y Procter &amp; Gamble. CIB generó fees significativos en asesoramiento buy-side, financiación de adquisición y potencial colocación de activos no estratégicos.</w:t>
            </w:r>
          </w:p>
        </w:tc>
        <w:tc>
          <w:tcPr>
            <w:tcW w:type="dxa" w:w="1083"/>
            <w:shd w:fill="FFFFFF" w:color="FFFFFF" w:val="solid"/>
            <w:tcMar>
              <w:top w:type="dxa" w:w="80"/>
              <w:left w:type="dxa" w:w="120"/>
              <w:bottom w:type="dxa" w:w="80"/>
              <w:right w:type="dxa" w:w="120"/>
            </w:tcMar>
          </w:tcPr>
          <w:p>
            <w:pPr>
              <w:spacing w:line="240" w:lineRule="auto"/>
              <w:jc w:val="center"/>
            </w:pPr>
            <w:r>
              <w:rPr>
                <w:rFonts w:ascii="Arial" w:cs="Arial" w:eastAsia="Arial" w:hAnsi="Arial"/>
                <w:b/>
                <w:bCs/>
                <w:i w:val="false"/>
                <w:iCs w:val="false"/>
                <w:color w:val="1A1A1A"/>
                <w:sz w:val="16"/>
                <w:szCs w:val="16"/>
              </w:rPr>
              <w:t xml:space="preserve">€45.400M</w:t>
            </w:r>
          </w:p>
        </w:tc>
        <w:tc>
          <w:tcPr>
            <w:tcW w:type="dxa" w:w="903"/>
            <w:shd w:fill="FFFFFF" w:color="FFFFFF" w:val="solid"/>
            <w:tcMar>
              <w:top w:type="dxa" w:w="80"/>
              <w:left w:type="dxa" w:w="120"/>
              <w:bottom w:type="dxa" w:w="80"/>
              <w:right w:type="dxa" w:w="120"/>
            </w:tcMar>
          </w:tcPr>
          <w:p>
            <w:pPr>
              <w:spacing w:line="240" w:lineRule="auto"/>
              <w:jc w:val="center"/>
            </w:pPr>
            <w:r>
              <w:rPr>
                <w:rFonts w:ascii="Arial" w:cs="Arial" w:eastAsia="Arial" w:hAnsi="Arial"/>
                <w:b w:val="false"/>
                <w:bCs w:val="false"/>
                <w:i w:val="false"/>
                <w:iCs w:val="false"/>
                <w:color w:val="1A1A1A"/>
                <w:sz w:val="16"/>
                <w:szCs w:val="16"/>
              </w:rPr>
              <w:t xml:space="preserve">2025</w:t>
            </w:r>
          </w:p>
        </w:tc>
        <w:tc>
          <w:tcPr>
            <w:tcW w:type="dxa" w:w="1624"/>
            <w:shd w:fill="FFFFFF" w:color="FFFFFF" w:val="solid"/>
            <w:tcMar>
              <w:top w:type="dxa" w:w="80"/>
              <w:left w:type="dxa" w:w="120"/>
              <w:bottom w:type="dxa" w:w="80"/>
              <w:right w:type="dxa" w:w="120"/>
            </w:tcMar>
          </w:tcPr>
          <w:p>
            <w:pPr>
              <w:spacing w:line="240" w:lineRule="auto"/>
            </w:pPr>
            <w:r>
              <w:rPr>
                <w:rFonts w:ascii="Arial" w:cs="Arial" w:eastAsia="Arial" w:hAnsi="Arial"/>
                <w:b w:val="false"/>
                <w:bCs w:val="false"/>
                <w:i/>
                <w:iCs/>
                <w:color w:val="666666"/>
                <w:sz w:val="16"/>
                <w:szCs w:val="16"/>
              </w:rPr>
              <w:t xml:space="preserve">Bloomberg; Financial Times; Reuters; Yahoo Finance Top M&amp;A Deals 2025 [Verificación pendiente cierre definitivo]</w:t>
            </w:r>
          </w:p>
        </w:tc>
      </w:tr>
      <w:tr>
        <w:tc>
          <w:tcPr>
            <w:tcW w:type="dxa" w:w="9026"/>
            <w:gridSpan w:val="5"/>
            <w:shd w:fill="F0F5F2" w:color="F0F5F2" w:val="solid"/>
            <w:tcMar>
              <w:top w:type="dxa" w:w="80"/>
              <w:left w:type="dxa" w:w="120"/>
              <w:bottom w:type="dxa" w:w="80"/>
              <w:right w:type="dxa" w:w="120"/>
            </w:tcMar>
          </w:tcPr>
          <w:p>
            <w:pPr>
              <w:spacing w:line="240" w:lineRule="auto"/>
            </w:pPr>
            <w:r>
              <w:rPr>
                <w:rFonts w:ascii="Arial" w:cs="Arial" w:eastAsia="Arial" w:hAnsi="Arial"/>
                <w:b/>
                <w:bCs/>
                <w:i w:val="false"/>
                <w:iCs w:val="false"/>
                <w:color w:val="003B2C"/>
                <w:sz w:val="16"/>
                <w:szCs w:val="16"/>
              </w:rPr>
              <w:t xml:space="preserve">FIG</w:t>
            </w:r>
          </w:p>
        </w:tc>
      </w:tr>
      <w:tr>
        <w:tc>
          <w:tcPr>
            <w:tcW w:type="dxa" w:w="1625"/>
            <w:shd w:fill="FFFFFF" w:color="FFFFFF" w:val="solid"/>
            <w:tcMar>
              <w:top w:type="dxa" w:w="80"/>
              <w:left w:type="dxa" w:w="120"/>
              <w:bottom w:type="dxa" w:w="80"/>
              <w:right w:type="dxa" w:w="120"/>
            </w:tcMar>
          </w:tcPr>
          <w:p>
            <w:pPr>
              <w:spacing w:line="240" w:lineRule="auto"/>
            </w:pPr>
            <w:r>
              <w:rPr>
                <w:rFonts w:ascii="Arial" w:cs="Arial" w:eastAsia="Arial" w:hAnsi="Arial"/>
                <w:b/>
                <w:bCs/>
                <w:i w:val="false"/>
                <w:iCs w:val="false"/>
                <w:color w:val="1A1A1A"/>
                <w:sz w:val="16"/>
                <w:szCs w:val="16"/>
              </w:rPr>
              <w:t xml:space="preserve">Fusión bancaria Fifth Third – Comerica (EE.UU.)</w:t>
            </w:r>
          </w:p>
        </w:tc>
        <w:tc>
          <w:tcPr>
            <w:tcW w:type="dxa" w:w="3791"/>
            <w:shd w:fill="FFFFFF" w:color="FFFFFF" w:val="solid"/>
            <w:tcMar>
              <w:top w:type="dxa" w:w="80"/>
              <w:left w:type="dxa" w:w="120"/>
              <w:bottom w:type="dxa" w:w="80"/>
              <w:right w:type="dxa" w:w="120"/>
            </w:tcMar>
          </w:tcPr>
          <w:p>
            <w:pPr>
              <w:spacing w:line="240" w:lineRule="auto"/>
            </w:pPr>
            <w:r>
              <w:rPr>
                <w:rFonts w:ascii="Arial" w:cs="Arial" w:eastAsia="Arial" w:hAnsi="Arial"/>
                <w:b w:val="false"/>
                <w:bCs w:val="false"/>
                <w:i w:val="false"/>
                <w:iCs w:val="false"/>
                <w:color w:val="1A1A1A"/>
                <w:sz w:val="16"/>
                <w:szCs w:val="16"/>
              </w:rPr>
              <w:t xml:space="preserve">Fifth Third Bancorp completó la adquisición de Comerica en una operación all-stock valorada en $10.900M, creando la 9ª entidad bancaria de EE.UU. por activos y reforzando la presencia de Fifth Third en los mercados del Medio Oeste y Texas. La operación es representativa de la ola de consolidación bancaria regional en EE.UU., impulsada por la complejidad regulatoria creciente, la necesidad de escala en tecnología e inversiones en digitalización, y la presión sobre márgenes de intermediación en un entorno de tipos a la baja. La estructura all-stock permite conservar capital regulatorio y ofrece a los accionistas de Comerica participación en las sinergias esperadas de eficiencia operativa y cross-selling. El impacto de mercado se traduce en una recomposición del mapa de banca regional estadounidense y en presión sobre otras entidades de tamaño medio para explorar alternativas estratégicas. Para CIB europeo, este tipo de transacciones genera benchmarks de valoración y plantea oportunidades análogas en el mercado europeo de consolidación bancaria.</w:t>
            </w:r>
          </w:p>
        </w:tc>
        <w:tc>
          <w:tcPr>
            <w:tcW w:type="dxa" w:w="1083"/>
            <w:shd w:fill="FFFFFF" w:color="FFFFFF" w:val="solid"/>
            <w:tcMar>
              <w:top w:type="dxa" w:w="80"/>
              <w:left w:type="dxa" w:w="120"/>
              <w:bottom w:type="dxa" w:w="80"/>
              <w:right w:type="dxa" w:w="120"/>
            </w:tcMar>
          </w:tcPr>
          <w:p>
            <w:pPr>
              <w:spacing w:line="240" w:lineRule="auto"/>
              <w:jc w:val="center"/>
            </w:pPr>
            <w:r>
              <w:rPr>
                <w:rFonts w:ascii="Arial" w:cs="Arial" w:eastAsia="Arial" w:hAnsi="Arial"/>
                <w:b/>
                <w:bCs/>
                <w:i w:val="false"/>
                <w:iCs w:val="false"/>
                <w:color w:val="1A1A1A"/>
                <w:sz w:val="16"/>
                <w:szCs w:val="16"/>
              </w:rPr>
              <w:t xml:space="preserve">€10.150M</w:t>
            </w:r>
          </w:p>
        </w:tc>
        <w:tc>
          <w:tcPr>
            <w:tcW w:type="dxa" w:w="903"/>
            <w:shd w:fill="FFFFFF" w:color="FFFFFF" w:val="solid"/>
            <w:tcMar>
              <w:top w:type="dxa" w:w="80"/>
              <w:left w:type="dxa" w:w="120"/>
              <w:bottom w:type="dxa" w:w="80"/>
              <w:right w:type="dxa" w:w="120"/>
            </w:tcMar>
          </w:tcPr>
          <w:p>
            <w:pPr>
              <w:spacing w:line="240" w:lineRule="auto"/>
              <w:jc w:val="center"/>
            </w:pPr>
            <w:r>
              <w:rPr>
                <w:rFonts w:ascii="Arial" w:cs="Arial" w:eastAsia="Arial" w:hAnsi="Arial"/>
                <w:b w:val="false"/>
                <w:bCs w:val="false"/>
                <w:i w:val="false"/>
                <w:iCs w:val="false"/>
                <w:color w:val="1A1A1A"/>
                <w:sz w:val="16"/>
                <w:szCs w:val="16"/>
              </w:rPr>
              <w:t xml:space="preserve">2025</w:t>
            </w:r>
          </w:p>
        </w:tc>
        <w:tc>
          <w:tcPr>
            <w:tcW w:type="dxa" w:w="1624"/>
            <w:shd w:fill="FFFFFF" w:color="FFFFFF" w:val="solid"/>
            <w:tcMar>
              <w:top w:type="dxa" w:w="80"/>
              <w:left w:type="dxa" w:w="120"/>
              <w:bottom w:type="dxa" w:w="80"/>
              <w:right w:type="dxa" w:w="120"/>
            </w:tcMar>
          </w:tcPr>
          <w:p>
            <w:pPr>
              <w:spacing w:line="240" w:lineRule="auto"/>
            </w:pPr>
            <w:r>
              <w:rPr>
                <w:rFonts w:ascii="Arial" w:cs="Arial" w:eastAsia="Arial" w:hAnsi="Arial"/>
                <w:b w:val="false"/>
                <w:bCs w:val="false"/>
                <w:i/>
                <w:iCs/>
                <w:color w:val="666666"/>
                <w:sz w:val="16"/>
                <w:szCs w:val="16"/>
              </w:rPr>
              <w:t xml:space="preserve">Bloomberg; Financial Times; EY Global Financial Services M&amp;A 2025; Reuters</w:t>
            </w:r>
          </w:p>
        </w:tc>
      </w:tr>
      <w:tr>
        <w:tc>
          <w:tcPr>
            <w:tcW w:type="dxa" w:w="1625"/>
            <w:shd w:fill="FFFFFF" w:color="FFFFFF" w:val="solid"/>
            <w:tcMar>
              <w:top w:type="dxa" w:w="80"/>
              <w:left w:type="dxa" w:w="120"/>
              <w:bottom w:type="dxa" w:w="80"/>
              <w:right w:type="dxa" w:w="120"/>
            </w:tcMar>
          </w:tcPr>
          <w:p>
            <w:pPr>
              <w:spacing w:line="240" w:lineRule="auto"/>
            </w:pPr>
            <w:r>
              <w:rPr>
                <w:rFonts w:ascii="Arial" w:cs="Arial" w:eastAsia="Arial" w:hAnsi="Arial"/>
                <w:b/>
                <w:bCs/>
                <w:i w:val="false"/>
                <w:iCs w:val="false"/>
                <w:color w:val="1A1A1A"/>
                <w:sz w:val="16"/>
                <w:szCs w:val="16"/>
              </w:rPr>
              <w:t xml:space="preserve">Consolidación M&amp;A seguros y gestión de activos – Global FIG 2025</w:t>
            </w:r>
          </w:p>
        </w:tc>
        <w:tc>
          <w:tcPr>
            <w:tcW w:type="dxa" w:w="3791"/>
            <w:shd w:fill="FFFFFF" w:color="FFFFFF" w:val="solid"/>
            <w:tcMar>
              <w:top w:type="dxa" w:w="80"/>
              <w:left w:type="dxa" w:w="120"/>
              <w:bottom w:type="dxa" w:w="80"/>
              <w:right w:type="dxa" w:w="120"/>
            </w:tcMar>
          </w:tcPr>
          <w:p>
            <w:pPr>
              <w:spacing w:line="240" w:lineRule="auto"/>
            </w:pPr>
            <w:r>
              <w:rPr>
                <w:rFonts w:ascii="Arial" w:cs="Arial" w:eastAsia="Arial" w:hAnsi="Arial"/>
                <w:b w:val="false"/>
                <w:bCs w:val="false"/>
                <w:i w:val="false"/>
                <w:iCs w:val="false"/>
                <w:color w:val="1A1A1A"/>
                <w:sz w:val="16"/>
                <w:szCs w:val="16"/>
              </w:rPr>
              <w:t xml:space="preserve">El sector de servicios financieros globales registró 93 operaciones superiores a $1.000M en 2025, con total de 2.236 transacciones, marcando un nuevo récord según EY Global Financial Services M&amp;A Report. La actividad se concentró en tres subsegmentos: gestoras de activos (consolidación ante presión de fees y escala tecnológica), aseguradoras (reposicionamiento de carteras hacia líneas de negocio con menor consumo de capital regulatorio) y plataformas de wealth management (integración de tecnología y asesoramiento). Las operaciones de mayor envergadura en seguros y asset management superaron individualmente los €10.000M, aunque la mayoría de las transacciones del segmento se concentró en el rango de €1.000M–€5.000M. El driver común es la búsqueda de economías de escala en distribución, tecnología y gestión de riesgos ante la presión de actores no bancarios y plataformas digitales. Para CIB europeo, el sector FIG representa uno de los mayores generadores de fees de asesoramiento M&amp;A e ECM del periodo, con operaciones en UK, Francia, Italia y los Países Bajos especialmente activas.</w:t>
            </w:r>
          </w:p>
        </w:tc>
        <w:tc>
          <w:tcPr>
            <w:tcW w:type="dxa" w:w="1083"/>
            <w:shd w:fill="FFFFFF" w:color="FFFFFF" w:val="solid"/>
            <w:tcMar>
              <w:top w:type="dxa" w:w="80"/>
              <w:left w:type="dxa" w:w="120"/>
              <w:bottom w:type="dxa" w:w="80"/>
              <w:right w:type="dxa" w:w="120"/>
            </w:tcMar>
          </w:tcPr>
          <w:p>
            <w:pPr>
              <w:spacing w:line="240" w:lineRule="auto"/>
              <w:jc w:val="center"/>
            </w:pPr>
            <w:r>
              <w:rPr>
                <w:rFonts w:ascii="Arial" w:cs="Arial" w:eastAsia="Arial" w:hAnsi="Arial"/>
                <w:b/>
                <w:bCs/>
                <w:i w:val="false"/>
                <w:iCs w:val="false"/>
                <w:color w:val="1A1A1A"/>
                <w:sz w:val="16"/>
                <w:szCs w:val="16"/>
              </w:rPr>
              <w:t xml:space="preserve">€varios &gt;€1.000M c/u</w:t>
            </w:r>
          </w:p>
        </w:tc>
        <w:tc>
          <w:tcPr>
            <w:tcW w:type="dxa" w:w="903"/>
            <w:shd w:fill="FFFFFF" w:color="FFFFFF" w:val="solid"/>
            <w:tcMar>
              <w:top w:type="dxa" w:w="80"/>
              <w:left w:type="dxa" w:w="120"/>
              <w:bottom w:type="dxa" w:w="80"/>
              <w:right w:type="dxa" w:w="120"/>
            </w:tcMar>
          </w:tcPr>
          <w:p>
            <w:pPr>
              <w:spacing w:line="240" w:lineRule="auto"/>
              <w:jc w:val="center"/>
            </w:pPr>
            <w:r>
              <w:rPr>
                <w:rFonts w:ascii="Arial" w:cs="Arial" w:eastAsia="Arial" w:hAnsi="Arial"/>
                <w:b w:val="false"/>
                <w:bCs w:val="false"/>
                <w:i w:val="false"/>
                <w:iCs w:val="false"/>
                <w:color w:val="1A1A1A"/>
                <w:sz w:val="16"/>
                <w:szCs w:val="16"/>
              </w:rPr>
              <w:t xml:space="preserve">2025</w:t>
            </w:r>
          </w:p>
        </w:tc>
        <w:tc>
          <w:tcPr>
            <w:tcW w:type="dxa" w:w="1624"/>
            <w:shd w:fill="FFFFFF" w:color="FFFFFF" w:val="solid"/>
            <w:tcMar>
              <w:top w:type="dxa" w:w="80"/>
              <w:left w:type="dxa" w:w="120"/>
              <w:bottom w:type="dxa" w:w="80"/>
              <w:right w:type="dxa" w:w="120"/>
            </w:tcMar>
          </w:tcPr>
          <w:p>
            <w:pPr>
              <w:spacing w:line="240" w:lineRule="auto"/>
            </w:pPr>
            <w:r>
              <w:rPr>
                <w:rFonts w:ascii="Arial" w:cs="Arial" w:eastAsia="Arial" w:hAnsi="Arial"/>
                <w:b w:val="false"/>
                <w:bCs w:val="false"/>
                <w:i/>
                <w:iCs/>
                <w:color w:val="666666"/>
                <w:sz w:val="16"/>
                <w:szCs w:val="16"/>
              </w:rPr>
              <w:t xml:space="preserve">EY Global Financial Services M&amp;A 2025; ECB Financial Stability Review; Bloomberg; Financial Times; BCG Global Investment Banking Outlook</w:t>
            </w:r>
          </w:p>
        </w:tc>
      </w:tr>
      <w:tr>
        <w:tc>
          <w:tcPr>
            <w:tcW w:type="dxa" w:w="9026"/>
            <w:gridSpan w:val="5"/>
            <w:shd w:fill="F0F5F2" w:color="F0F5F2" w:val="solid"/>
            <w:tcMar>
              <w:top w:type="dxa" w:w="80"/>
              <w:left w:type="dxa" w:w="120"/>
              <w:bottom w:type="dxa" w:w="80"/>
              <w:right w:type="dxa" w:w="120"/>
            </w:tcMar>
          </w:tcPr>
          <w:p>
            <w:pPr>
              <w:spacing w:line="240" w:lineRule="auto"/>
            </w:pPr>
            <w:r>
              <w:rPr>
                <w:rFonts w:ascii="Arial" w:cs="Arial" w:eastAsia="Arial" w:hAnsi="Arial"/>
                <w:b/>
                <w:bCs/>
                <w:i w:val="false"/>
                <w:iCs w:val="false"/>
                <w:color w:val="003B2C"/>
                <w:sz w:val="16"/>
                <w:szCs w:val="16"/>
              </w:rPr>
              <w:t xml:space="preserve">HEALTHCARE &amp; CHEMICALS</w:t>
            </w:r>
          </w:p>
        </w:tc>
      </w:tr>
      <w:tr>
        <w:tc>
          <w:tcPr>
            <w:tcW w:type="dxa" w:w="1625"/>
            <w:shd w:fill="FFFFFF" w:color="FFFFFF" w:val="solid"/>
            <w:tcMar>
              <w:top w:type="dxa" w:w="80"/>
              <w:left w:type="dxa" w:w="120"/>
              <w:bottom w:type="dxa" w:w="80"/>
              <w:right w:type="dxa" w:w="120"/>
            </w:tcMar>
          </w:tcPr>
          <w:p>
            <w:pPr>
              <w:spacing w:line="240" w:lineRule="auto"/>
            </w:pPr>
            <w:r>
              <w:rPr>
                <w:rFonts w:ascii="Arial" w:cs="Arial" w:eastAsia="Arial" w:hAnsi="Arial"/>
                <w:b/>
                <w:bCs/>
                <w:i w:val="false"/>
                <w:iCs w:val="false"/>
                <w:color w:val="1A1A1A"/>
                <w:sz w:val="16"/>
                <w:szCs w:val="16"/>
              </w:rPr>
              <w:t xml:space="preserve">Pfizer adquiere Metsera (obesidad/biopharma) ante puja de Novo Nordisk</w:t>
            </w:r>
          </w:p>
        </w:tc>
        <w:tc>
          <w:tcPr>
            <w:tcW w:type="dxa" w:w="3791"/>
            <w:shd w:fill="FFFFFF" w:color="FFFFFF" w:val="solid"/>
            <w:tcMar>
              <w:top w:type="dxa" w:w="80"/>
              <w:left w:type="dxa" w:w="120"/>
              <w:bottom w:type="dxa" w:w="80"/>
              <w:right w:type="dxa" w:w="120"/>
            </w:tcMar>
          </w:tcPr>
          <w:p>
            <w:pPr>
              <w:spacing w:line="240" w:lineRule="auto"/>
            </w:pPr>
            <w:r>
              <w:rPr>
                <w:rFonts w:ascii="Arial" w:cs="Arial" w:eastAsia="Arial" w:hAnsi="Arial"/>
                <w:b w:val="false"/>
                <w:bCs w:val="false"/>
                <w:i w:val="false"/>
                <w:iCs w:val="false"/>
                <w:color w:val="1A1A1A"/>
                <w:sz w:val="16"/>
                <w:szCs w:val="16"/>
              </w:rPr>
              <w:t xml:space="preserve">Pfizer prevaleció en una disputada puja competitiva con Novo Nordisk para adquirir Metsera, compañía de desarrollo de fármacos para la obesidad (GLP-1 next-generation), por aproximadamente $10.000M, en uno de los procesos de M&amp;A biopharma más competitivos del periodo. El driver estratégico es el posicionamiento en el segmento de obesidad y metabolismo, mercado con proyecciones de $130.000M anuales a escala global para finales de la década, y donde Eli Lilly y Novo Nordisk dominan actualmente con Mounjaro y Ozempic/Wegovy. La operación refleja la urgencia de las grandes farmacéuticas por incorporar activos en fases clínicas avanzadas para no quedar excluidas del mercado de mayor crecimiento en healthcare. La estructura es una adquisición directa, financiada con efectivo y líneas de crédito corporativo, con componentes de milestone payments ligados a hitos regulatorios. Para CIB, las guerras de pujas en biopharma generan fees de asesoramiento de alto margen y mandatos de financiación puente.</w:t>
            </w:r>
          </w:p>
        </w:tc>
        <w:tc>
          <w:tcPr>
            <w:tcW w:type="dxa" w:w="1083"/>
            <w:shd w:fill="FFFFFF" w:color="FFFFFF" w:val="solid"/>
            <w:tcMar>
              <w:top w:type="dxa" w:w="80"/>
              <w:left w:type="dxa" w:w="120"/>
              <w:bottom w:type="dxa" w:w="80"/>
              <w:right w:type="dxa" w:w="120"/>
            </w:tcMar>
          </w:tcPr>
          <w:p>
            <w:pPr>
              <w:spacing w:line="240" w:lineRule="auto"/>
              <w:jc w:val="center"/>
            </w:pPr>
            <w:r>
              <w:rPr>
                <w:rFonts w:ascii="Arial" w:cs="Arial" w:eastAsia="Arial" w:hAnsi="Arial"/>
                <w:b/>
                <w:bCs/>
                <w:i w:val="false"/>
                <w:iCs w:val="false"/>
                <w:color w:val="1A1A1A"/>
                <w:sz w:val="16"/>
                <w:szCs w:val="16"/>
              </w:rPr>
              <w:t xml:space="preserve">€9.300M</w:t>
            </w:r>
          </w:p>
        </w:tc>
        <w:tc>
          <w:tcPr>
            <w:tcW w:type="dxa" w:w="903"/>
            <w:shd w:fill="FFFFFF" w:color="FFFFFF" w:val="solid"/>
            <w:tcMar>
              <w:top w:type="dxa" w:w="80"/>
              <w:left w:type="dxa" w:w="120"/>
              <w:bottom w:type="dxa" w:w="80"/>
              <w:right w:type="dxa" w:w="120"/>
            </w:tcMar>
          </w:tcPr>
          <w:p>
            <w:pPr>
              <w:spacing w:line="240" w:lineRule="auto"/>
              <w:jc w:val="center"/>
            </w:pPr>
            <w:r>
              <w:rPr>
                <w:rFonts w:ascii="Arial" w:cs="Arial" w:eastAsia="Arial" w:hAnsi="Arial"/>
                <w:b w:val="false"/>
                <w:bCs w:val="false"/>
                <w:i w:val="false"/>
                <w:iCs w:val="false"/>
                <w:color w:val="1A1A1A"/>
                <w:sz w:val="16"/>
                <w:szCs w:val="16"/>
              </w:rPr>
              <w:t xml:space="preserve">2025</w:t>
            </w:r>
          </w:p>
        </w:tc>
        <w:tc>
          <w:tcPr>
            <w:tcW w:type="dxa" w:w="1624"/>
            <w:shd w:fill="FFFFFF" w:color="FFFFFF" w:val="solid"/>
            <w:tcMar>
              <w:top w:type="dxa" w:w="80"/>
              <w:left w:type="dxa" w:w="120"/>
              <w:bottom w:type="dxa" w:w="80"/>
              <w:right w:type="dxa" w:w="120"/>
            </w:tcMar>
          </w:tcPr>
          <w:p>
            <w:pPr>
              <w:spacing w:line="240" w:lineRule="auto"/>
            </w:pPr>
            <w:r>
              <w:rPr>
                <w:rFonts w:ascii="Arial" w:cs="Arial" w:eastAsia="Arial" w:hAnsi="Arial"/>
                <w:b w:val="false"/>
                <w:bCs w:val="false"/>
                <w:i/>
                <w:iCs/>
                <w:color w:val="666666"/>
                <w:sz w:val="16"/>
                <w:szCs w:val="16"/>
              </w:rPr>
              <w:t xml:space="preserve">Bloomberg; Reuters; Financial Times; Yahoo Finance Top M&amp;A Deals 2025 [Verificación pendiente condiciones definitivas]</w:t>
            </w:r>
          </w:p>
        </w:tc>
      </w:tr>
      <w:tr>
        <w:tc>
          <w:tcPr>
            <w:tcW w:type="dxa" w:w="9026"/>
            <w:gridSpan w:val="5"/>
            <w:shd w:fill="F0F5F2" w:color="F0F5F2" w:val="solid"/>
            <w:tcMar>
              <w:top w:type="dxa" w:w="80"/>
              <w:left w:type="dxa" w:w="120"/>
              <w:bottom w:type="dxa" w:w="80"/>
              <w:right w:type="dxa" w:w="120"/>
            </w:tcMar>
          </w:tcPr>
          <w:p>
            <w:pPr>
              <w:spacing w:line="240" w:lineRule="auto"/>
            </w:pPr>
            <w:r>
              <w:rPr>
                <w:rFonts w:ascii="Arial" w:cs="Arial" w:eastAsia="Arial" w:hAnsi="Arial"/>
                <w:b/>
                <w:bCs/>
                <w:i w:val="false"/>
                <w:iCs w:val="false"/>
                <w:color w:val="003B2C"/>
                <w:sz w:val="16"/>
                <w:szCs w:val="16"/>
              </w:rPr>
              <w:t xml:space="preserve">ENERGÍA</w:t>
            </w:r>
          </w:p>
        </w:tc>
      </w:tr>
      <w:tr>
        <w:tc>
          <w:tcPr>
            <w:tcW w:type="dxa" w:w="1625"/>
            <w:shd w:fill="FFFFFF" w:color="FFFFFF" w:val="solid"/>
            <w:tcMar>
              <w:top w:type="dxa" w:w="80"/>
              <w:left w:type="dxa" w:w="120"/>
              <w:bottom w:type="dxa" w:w="80"/>
              <w:right w:type="dxa" w:w="120"/>
            </w:tcMar>
          </w:tcPr>
          <w:p>
            <w:pPr>
              <w:spacing w:line="240" w:lineRule="auto"/>
            </w:pPr>
            <w:r>
              <w:rPr>
                <w:rFonts w:ascii="Arial" w:cs="Arial" w:eastAsia="Arial" w:hAnsi="Arial"/>
                <w:b/>
                <w:bCs/>
                <w:i w:val="false"/>
                <w:iCs w:val="false"/>
                <w:color w:val="1A1A1A"/>
                <w:sz w:val="16"/>
                <w:szCs w:val="16"/>
              </w:rPr>
              <w:t xml:space="preserve">Cartera de activos de energía renovable – M&amp;A global H1 2025 (Norteamérica y Europa)</w:t>
            </w:r>
          </w:p>
        </w:tc>
        <w:tc>
          <w:tcPr>
            <w:tcW w:type="dxa" w:w="3791"/>
            <w:shd w:fill="FFFFFF" w:color="FFFFFF" w:val="solid"/>
            <w:tcMar>
              <w:top w:type="dxa" w:w="80"/>
              <w:left w:type="dxa" w:w="120"/>
              <w:bottom w:type="dxa" w:w="80"/>
              <w:right w:type="dxa" w:w="120"/>
            </w:tcMar>
          </w:tcPr>
          <w:p>
            <w:pPr>
              <w:spacing w:line="240" w:lineRule="auto"/>
            </w:pPr>
            <w:r>
              <w:rPr>
                <w:rFonts w:ascii="Arial" w:cs="Arial" w:eastAsia="Arial" w:hAnsi="Arial"/>
                <w:b w:val="false"/>
                <w:bCs w:val="false"/>
                <w:i w:val="false"/>
                <w:iCs w:val="false"/>
                <w:color w:val="1A1A1A"/>
                <w:sz w:val="16"/>
                <w:szCs w:val="16"/>
              </w:rPr>
              <w:t xml:space="preserve">El mercado global de M&amp;A en energías renovables acumuló $43.000M en H1 2025, con Norteamérica liderando con $16.000M y Europa con $13.000M, reflejando la consolidación de portfolios de generación solar, eólica y almacenamiento en un entorno de maduración del sector. Las principales transacciones del periodo incluyeron compraventas de plataformas de generación con contratos PPA a largo plazo, adquisiciones de portfolios offshore por parte de utilities europeas y fondos de infraestructura, y operaciones de refinanciación de project finance en activos operativos. Los drivers estratégicos combinan la búsqueda de activos con flujos de caja estables en un entorno de tipos todavía elevados, la presión regulatoria de la UE para acelerar la descarbonización y el reposicionamiento de las grandes oil majors hacia energías limpias. El conjunto de operaciones de Q1 2025 en renovables globales alcanzó ~$32.000M, continuando el momentum de cierre de 2024. Para CIB especializado en project finance y M&amp;A de infraestructuras, este segmento constituye uno de los pipelines de mayor visibilidad del periodo.</w:t>
            </w:r>
          </w:p>
        </w:tc>
        <w:tc>
          <w:tcPr>
            <w:tcW w:type="dxa" w:w="1083"/>
            <w:shd w:fill="FFFFFF" w:color="FFFFFF" w:val="solid"/>
            <w:tcMar>
              <w:top w:type="dxa" w:w="80"/>
              <w:left w:type="dxa" w:w="120"/>
              <w:bottom w:type="dxa" w:w="80"/>
              <w:right w:type="dxa" w:w="120"/>
            </w:tcMar>
          </w:tcPr>
          <w:p>
            <w:pPr>
              <w:spacing w:line="240" w:lineRule="auto"/>
              <w:jc w:val="center"/>
            </w:pPr>
            <w:r>
              <w:rPr>
                <w:rFonts w:ascii="Arial" w:cs="Arial" w:eastAsia="Arial" w:hAnsi="Arial"/>
                <w:b/>
                <w:bCs/>
                <w:i w:val="false"/>
                <w:iCs w:val="false"/>
                <w:color w:val="1A1A1A"/>
                <w:sz w:val="16"/>
                <w:szCs w:val="16"/>
              </w:rPr>
              <w:t xml:space="preserve">€40.000M</w:t>
            </w:r>
          </w:p>
        </w:tc>
        <w:tc>
          <w:tcPr>
            <w:tcW w:type="dxa" w:w="903"/>
            <w:shd w:fill="FFFFFF" w:color="FFFFFF" w:val="solid"/>
            <w:tcMar>
              <w:top w:type="dxa" w:w="80"/>
              <w:left w:type="dxa" w:w="120"/>
              <w:bottom w:type="dxa" w:w="80"/>
              <w:right w:type="dxa" w:w="120"/>
            </w:tcMar>
          </w:tcPr>
          <w:p>
            <w:pPr>
              <w:spacing w:line="240" w:lineRule="auto"/>
              <w:jc w:val="center"/>
            </w:pPr>
            <w:r>
              <w:rPr>
                <w:rFonts w:ascii="Arial" w:cs="Arial" w:eastAsia="Arial" w:hAnsi="Arial"/>
                <w:b w:val="false"/>
                <w:bCs w:val="false"/>
                <w:i w:val="false"/>
                <w:iCs w:val="false"/>
                <w:color w:val="1A1A1A"/>
                <w:sz w:val="16"/>
                <w:szCs w:val="16"/>
              </w:rPr>
              <w:t xml:space="preserve">H1 2025</w:t>
            </w:r>
          </w:p>
        </w:tc>
        <w:tc>
          <w:tcPr>
            <w:tcW w:type="dxa" w:w="1624"/>
            <w:shd w:fill="FFFFFF" w:color="FFFFFF" w:val="solid"/>
            <w:tcMar>
              <w:top w:type="dxa" w:w="80"/>
              <w:left w:type="dxa" w:w="120"/>
              <w:bottom w:type="dxa" w:w="80"/>
              <w:right w:type="dxa" w:w="120"/>
            </w:tcMar>
          </w:tcPr>
          <w:p>
            <w:pPr>
              <w:spacing w:line="240" w:lineRule="auto"/>
            </w:pPr>
            <w:r>
              <w:rPr>
                <w:rFonts w:ascii="Arial" w:cs="Arial" w:eastAsia="Arial" w:hAnsi="Arial"/>
                <w:b w:val="false"/>
                <w:bCs w:val="false"/>
                <w:i/>
                <w:iCs/>
                <w:color w:val="666666"/>
                <w:sz w:val="16"/>
                <w:szCs w:val="16"/>
              </w:rPr>
              <w:t xml:space="preserve">IJGlobal; Project Finance International (PFI); Goldman Sachs Global IB Outlook; PwC Capital Markets Outlook 2026; Refinitiv/LSEG Deal Activity</w:t>
            </w:r>
          </w:p>
        </w:tc>
      </w:tr>
      <w:tr>
        <w:tc>
          <w:tcPr>
            <w:tcW w:type="dxa" w:w="9026"/>
            <w:gridSpan w:val="5"/>
            <w:shd w:fill="F0F5F2" w:color="F0F5F2" w:val="solid"/>
            <w:tcMar>
              <w:top w:type="dxa" w:w="80"/>
              <w:left w:type="dxa" w:w="120"/>
              <w:bottom w:type="dxa" w:w="80"/>
              <w:right w:type="dxa" w:w="120"/>
            </w:tcMar>
          </w:tcPr>
          <w:p>
            <w:pPr>
              <w:spacing w:line="240" w:lineRule="auto"/>
            </w:pPr>
            <w:r>
              <w:rPr>
                <w:rFonts w:ascii="Arial" w:cs="Arial" w:eastAsia="Arial" w:hAnsi="Arial"/>
                <w:b/>
                <w:bCs/>
                <w:i w:val="false"/>
                <w:iCs w:val="false"/>
                <w:color w:val="003B2C"/>
                <w:sz w:val="16"/>
                <w:szCs w:val="16"/>
              </w:rPr>
              <w:t xml:space="preserve">CONSTRUCCIÓN &amp; INFRAESTRUCTURAS</w:t>
            </w:r>
          </w:p>
        </w:tc>
      </w:tr>
      <w:tr>
        <w:tc>
          <w:tcPr>
            <w:tcW w:type="dxa" w:w="1625"/>
            <w:shd w:fill="FFFFFF" w:color="FFFFFF" w:val="solid"/>
            <w:tcMar>
              <w:top w:type="dxa" w:w="80"/>
              <w:left w:type="dxa" w:w="120"/>
              <w:bottom w:type="dxa" w:w="80"/>
              <w:right w:type="dxa" w:w="120"/>
            </w:tcMar>
          </w:tcPr>
          <w:p>
            <w:pPr>
              <w:spacing w:line="240" w:lineRule="auto"/>
            </w:pPr>
            <w:r>
              <w:rPr>
                <w:rFonts w:ascii="Arial" w:cs="Arial" w:eastAsia="Arial" w:hAnsi="Arial"/>
                <w:b/>
                <w:bCs/>
                <w:i w:val="false"/>
                <w:iCs w:val="false"/>
                <w:color w:val="1A1A1A"/>
                <w:sz w:val="16"/>
                <w:szCs w:val="16"/>
              </w:rPr>
              <w:t xml:space="preserve">Adquisición de Aligned Data Centers – infraestructura digital (ver TMT)</w:t>
            </w:r>
          </w:p>
        </w:tc>
        <w:tc>
          <w:tcPr>
            <w:tcW w:type="dxa" w:w="3791"/>
            <w:shd w:fill="FFFFFF" w:color="FFFFFF" w:val="solid"/>
            <w:tcMar>
              <w:top w:type="dxa" w:w="80"/>
              <w:left w:type="dxa" w:w="120"/>
              <w:bottom w:type="dxa" w:w="80"/>
              <w:right w:type="dxa" w:w="120"/>
            </w:tcMar>
          </w:tcPr>
          <w:p>
            <w:pPr>
              <w:spacing w:line="240" w:lineRule="auto"/>
            </w:pPr>
            <w:r>
              <w:rPr>
                <w:rFonts w:ascii="Arial" w:cs="Arial" w:eastAsia="Arial" w:hAnsi="Arial"/>
                <w:b w:val="false"/>
                <w:bCs w:val="false"/>
                <w:i w:val="false"/>
                <w:iCs w:val="false"/>
                <w:color w:val="1A1A1A"/>
                <w:sz w:val="16"/>
                <w:szCs w:val="16"/>
              </w:rPr>
              <w:t xml:space="preserve">La adquisición de Aligned Data Centers por $40.000M (liderada por BlackRock GIP y MGX) tiene también una dimensión relevante como activo de infraestructura física, dado que la plataforma opera campus de centros de datos con infraestructura de potencia, refrigeración y conectividad de alta criticidad que comparten características propias de los activos de infraestructura real estate industrial. Desde la perspectiva de Construcción &amp; Infraestructuras, la transacción refleja la reorientación del capital de infraestructura hacia activos digitales como nueva clase de activo core, junto con las infraestructuras tradicionales de transporte, energía y social. BlackRock GIP es uno de los mayores gestores de infraestructura global, con más de $150.000M bajo gestión, y la participación de MGX (Abu Dhabi) subraya el protagonismo del capital del Golfo en infraestructura digital. El modelo de financiación hibrido —equity de largo plazo, deuda de proyecto y capital estratégico corporativo— es replicable en otras plataformas de infraestructura digital en Europa y APAC. Para CIB, los mandatos de project finance y debt capital markets en este segmento representan una oportunidad de alta visibilidad y márgenes elevados.</w:t>
            </w:r>
          </w:p>
        </w:tc>
        <w:tc>
          <w:tcPr>
            <w:tcW w:type="dxa" w:w="1083"/>
            <w:shd w:fill="FFFFFF" w:color="FFFFFF" w:val="solid"/>
            <w:tcMar>
              <w:top w:type="dxa" w:w="80"/>
              <w:left w:type="dxa" w:w="120"/>
              <w:bottom w:type="dxa" w:w="80"/>
              <w:right w:type="dxa" w:w="120"/>
            </w:tcMar>
          </w:tcPr>
          <w:p>
            <w:pPr>
              <w:spacing w:line="240" w:lineRule="auto"/>
              <w:jc w:val="center"/>
            </w:pPr>
            <w:r>
              <w:rPr>
                <w:rFonts w:ascii="Arial" w:cs="Arial" w:eastAsia="Arial" w:hAnsi="Arial"/>
                <w:b/>
                <w:bCs/>
                <w:i w:val="false"/>
                <w:iCs w:val="false"/>
                <w:color w:val="1A1A1A"/>
                <w:sz w:val="16"/>
                <w:szCs w:val="16"/>
              </w:rPr>
              <w:t xml:space="preserve">€37.200M</w:t>
            </w:r>
          </w:p>
        </w:tc>
        <w:tc>
          <w:tcPr>
            <w:tcW w:type="dxa" w:w="903"/>
            <w:shd w:fill="FFFFFF" w:color="FFFFFF" w:val="solid"/>
            <w:tcMar>
              <w:top w:type="dxa" w:w="80"/>
              <w:left w:type="dxa" w:w="120"/>
              <w:bottom w:type="dxa" w:w="80"/>
              <w:right w:type="dxa" w:w="120"/>
            </w:tcMar>
          </w:tcPr>
          <w:p>
            <w:pPr>
              <w:spacing w:line="240" w:lineRule="auto"/>
              <w:jc w:val="center"/>
            </w:pPr>
            <w:r>
              <w:rPr>
                <w:rFonts w:ascii="Arial" w:cs="Arial" w:eastAsia="Arial" w:hAnsi="Arial"/>
                <w:b w:val="false"/>
                <w:bCs w:val="false"/>
                <w:i w:val="false"/>
                <w:iCs w:val="false"/>
                <w:color w:val="1A1A1A"/>
                <w:sz w:val="16"/>
                <w:szCs w:val="16"/>
              </w:rPr>
              <w:t xml:space="preserve">Octubre 2025</w:t>
            </w:r>
          </w:p>
        </w:tc>
        <w:tc>
          <w:tcPr>
            <w:tcW w:type="dxa" w:w="1624"/>
            <w:shd w:fill="FFFFFF" w:color="FFFFFF" w:val="solid"/>
            <w:tcMar>
              <w:top w:type="dxa" w:w="80"/>
              <w:left w:type="dxa" w:w="120"/>
              <w:bottom w:type="dxa" w:w="80"/>
              <w:right w:type="dxa" w:w="120"/>
            </w:tcMar>
          </w:tcPr>
          <w:p>
            <w:pPr>
              <w:spacing w:line="240" w:lineRule="auto"/>
            </w:pPr>
            <w:r>
              <w:rPr>
                <w:rFonts w:ascii="Arial" w:cs="Arial" w:eastAsia="Arial" w:hAnsi="Arial"/>
                <w:b w:val="false"/>
                <w:bCs w:val="false"/>
                <w:i/>
                <w:iCs/>
                <w:color w:val="666666"/>
                <w:sz w:val="16"/>
                <w:szCs w:val="16"/>
              </w:rPr>
              <w:t xml:space="preserve">Bloomberg; Financial Times; IJGlobal; Project Finance International (PFI); BlackRock GIP comunicados [Verificación pendiente estructura definitiva de deuda]</w:t>
            </w:r>
          </w:p>
        </w:tc>
      </w:tr>
    </w:tbl>
    <w:p>
      <w:pPr>
        <w:spacing w:after="0" w:before="200"/>
      </w:pPr>
    </w:p>
    <w:p>
      <w:pPr>
        <w:shd w:fill="F0F5F2" w:color="F0F5F2" w:val="solid"/>
        <w:spacing w:after="40" w:before="400" w:line="240" w:lineRule="auto"/>
      </w:pPr>
      <w:r>
        <w:rPr>
          <w:rFonts w:ascii="Arial" w:cs="Arial" w:eastAsia="Arial" w:hAnsi="Arial"/>
          <w:b/>
          <w:bCs/>
          <w:color w:val="1A1A1A"/>
          <w:sz w:val="14"/>
          <w:szCs w:val="14"/>
        </w:rPr>
        <w:t xml:space="preserve">FUENTES: </w:t>
      </w:r>
      <w:r>
        <w:rPr>
          <w:rFonts w:ascii="Arial" w:cs="Arial" w:eastAsia="Arial" w:hAnsi="Arial"/>
          <w:color w:val="666666"/>
          <w:sz w:val="14"/>
          <w:szCs w:val="14"/>
        </w:rPr>
        <w:t xml:space="preserve">BCG Global Investment Banking Outlook / H1 2025 Capital Markets &amp; Investment Banking Update · BCG M&amp;A Outlook 2026: Expectations Are High — Again · McKinsey Global Banking Annual Review / CIB in an Era of Volatility · McKinsey: Global M&amp;A Trends — Navigating a Rapidly Rebounding Market · J.P. Morgan Annual Market Outlook 2026 / Global Research · J.P. Morgan: Mega Deals and Market Shifts — 2025 IB Recap and 2026 Outlook · J.P. Morgan: Global Dealmaking Trends Driving Growth 2025 · Goldman Sachs: 2025 M&amp;A Outlook / Investment Backdrop Heading into 2026 · BNP Paribas CIB: 2026 US M&amp;A Outlook — Key Themes Defining Dealmaking · PwC: Global M&amp;A Industry Trends 2026 / US Deals 2026 Outlook · PwC: Global M&amp;A Trends in TMT 2026 · EY: Global Financial Services M&amp;A Activity 2025 · IMF Global Financial Stability Report · OECD Economic Outlook · BIS Global Liquidity Reports · FSB Financial Stability Board Reports · ECB Financial Stability Review · Bloomberg — Deals &amp; Markets · Reuters — M&amp;A and Capital Markets Coverage · Financial Times — Deals &amp; Markets · Wall Street Journal — M&amp;A Coverage 2025 · CNBC: Wall Street Deals 2025 / Global M&amp;A Boom 2026 · Refinitiv / LSEG Deal Activity &amp; Capital Markets · IMAA Institute: Top Global M&amp;A Deals 2025 · IJGlobal — Infrastructure &amp; Energy Finance · Project Finance International (PFI) · HarbourVest: 10 Deals That Defined Private Markets in 2025 · PitchBook (citado vía CNBC y PYMNTS) · Yahoo Finance: M&amp;A Boomed — Top 5 Mega-Deals of 2025 · Harvard Law School Forum on Corporate Governance: M&amp;A Reviewing 2025 and Looking Ahead to 2026</w:t>
      </w:r>
    </w:p>
    <w:p>
      <w:pPr>
        <w:shd w:fill="F0F5F2" w:color="F0F5F2" w:val="solid"/>
        <w:spacing w:after="80" w:before="0" w:line="240" w:lineRule="auto"/>
      </w:pPr>
      <w:r>
        <w:rPr>
          <w:rFonts w:ascii="Arial" w:cs="Arial" w:eastAsia="Arial" w:hAnsi="Arial"/>
          <w:i/>
          <w:iCs/>
          <w:color w:val="666666"/>
          <w:sz w:val="14"/>
          <w:szCs w:val="14"/>
        </w:rPr>
        <w:t xml:space="preserve">Documento preparado para uso interno del Consejo de Administración de CaixaBank · CIB — Global Investment Banking · 1Q.2025 – 1Q.2026</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16"/>
        <w:szCs w:val="16"/>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2026-03-02T19:28:14.635Z</dcterms:created>
  <dcterms:modified xsi:type="dcterms:W3CDTF">2026-03-02T19:28:14.635Z</dcterms:modified>
</cp:coreProperties>
</file>

<file path=docProps/custom.xml><?xml version="1.0" encoding="utf-8"?>
<Properties xmlns="http://schemas.openxmlformats.org/officeDocument/2006/custom-properties" xmlns:vt="http://schemas.openxmlformats.org/officeDocument/2006/docPropsVTypes"/>
</file>