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hd w:fill="003366" w:color="003366" w:val="solid"/>
        <w:spacing w:after="80" w:before="200" w:line="240" w:lineRule="auto"/>
        <w:jc w:val="center"/>
      </w:pPr>
      <w:r>
        <w:rPr>
          <w:rFonts w:ascii="Arial" w:cs="Arial" w:eastAsia="Arial" w:hAnsi="Arial"/>
          <w:b/>
          <w:bCs/>
          <w:color w:val="FFFFFF"/>
          <w:sz w:val="26"/>
          <w:szCs w:val="26"/>
        </w:rPr>
        <w:t xml:space="preserve">CIB VISION MONOPRODUCTO | STRUCTURED FINANCE | 1Q.2025 – 4Q.2025</w:t>
      </w:r>
    </w:p>
    <w:p>
      <w:pPr>
        <w:shd w:fill="003366" w:color="003366" w:val="solid"/>
        <w:spacing w:after="200" w:before="0" w:line="240" w:lineRule="auto"/>
        <w:jc w:val="center"/>
      </w:pPr>
      <w:r>
        <w:rPr>
          <w:rFonts w:ascii="Arial" w:cs="Arial" w:eastAsia="Arial" w:hAnsi="Arial"/>
          <w:i w:val="false"/>
          <w:iCs w:val="false"/>
          <w:color w:val="FFFFFF"/>
          <w:sz w:val="16"/>
          <w:szCs w:val="16"/>
        </w:rPr>
        <w:t xml:space="preserve">Consejo de Administración CaixaBank · Ámbito: Internacional · Operaciones &gt; €100M</w:t>
      </w:r>
    </w:p>
    <w:p>
      <w:pPr>
        <w:shd w:fill="003366" w:color="003366" w:val="solid"/>
        <w:spacing w:after="200" w:before="0" w:line="240" w:lineRule="auto"/>
        <w:jc w:val="center"/>
      </w:pPr>
      <w:r>
        <w:rPr>
          <w:rFonts w:ascii="Arial" w:cs="Arial" w:eastAsia="Arial" w:hAnsi="Arial"/>
          <w:i/>
          <w:iCs/>
          <w:color w:val="FFFFFF"/>
          <w:sz w:val="16"/>
          <w:szCs w:val="16"/>
        </w:rPr>
        <w:t xml:space="preserve">Consejo de Administración CaixaBank · Ámbito: Internacional (Global) · Operaciones &gt; €100M</w:t>
      </w:r>
    </w:p>
    <w:p>
      <w:pPr>
        <w:shd w:fill="1B5E9E" w:color="1B5E9E" w:val="solid"/>
        <w:spacing w:after="0" w:before="360" w:line="240" w:lineRule="auto"/>
      </w:pPr>
      <w:r>
        <w:rPr>
          <w:rFonts w:ascii="Arial" w:cs="Arial" w:eastAsia="Arial" w:hAnsi="Arial"/>
          <w:b/>
          <w:bCs/>
          <w:color w:val="FFFFFF"/>
          <w:sz w:val="20"/>
          <w:szCs w:val="20"/>
        </w:rPr>
        <w:t xml:space="preserve">01 | DINÁMICAS DE MERCADO — STRUCTURED FINANCE  (1Q.2025 – 4Q.2025)</w:t>
      </w:r>
    </w:p>
    <w:tbl>
      <w:tblPr>
        <w:tblW w:type="dxa" w:w="9026"/>
        <w:tblBorders>
          <w:top w:val="single" w:color="CCCCCC" w:sz="1"/>
          <w:left w:val="single" w:color="CCCCCC" w:sz="1"/>
          <w:bottom w:val="single" w:color="CCCCCC" w:sz="1"/>
          <w:right w:val="single" w:color="CCCCCC" w:sz="1"/>
          <w:insideH w:val="single" w:color="auto" w:sz="4"/>
          <w:insideV w:val="single" w:color="auto" w:sz="4"/>
        </w:tblBorders>
      </w:tblPr>
      <w:tblGrid>
        <w:gridCol w:w="100"/>
        <w:gridCol w:w="100"/>
      </w:tblGrid>
      <w:tr>
        <w:trPr>
          <w:tblHeader/>
        </w:trPr>
        <w:tc>
          <w:tcPr>
            <w:tcW w:type="dxa" w:w="2708"/>
            <w:shd w:fill="003366" w:color="003366" w:val="solid"/>
            <w:tcMar>
              <w:top w:type="dxa" w:w="80"/>
              <w:left w:type="dxa" w:w="120"/>
              <w:bottom w:type="dxa" w:w="80"/>
              <w:right w:type="dxa" w:w="120"/>
            </w:tcMar>
          </w:tcPr>
          <w:p>
            <w:pPr>
              <w:spacing w:line="240" w:lineRule="auto"/>
            </w:pPr>
            <w:r>
              <w:rPr>
                <w:rFonts w:ascii="Arial" w:cs="Arial" w:eastAsia="Arial" w:hAnsi="Arial"/>
                <w:b/>
                <w:bCs/>
                <w:i w:val="false"/>
                <w:iCs w:val="false"/>
                <w:color w:val="FFFFFF"/>
                <w:sz w:val="16"/>
                <w:szCs w:val="16"/>
              </w:rPr>
              <w:t xml:space="preserve">DINÁMICA</w:t>
            </w:r>
          </w:p>
        </w:tc>
        <w:tc>
          <w:tcPr>
            <w:tcW w:type="dxa" w:w="6318"/>
            <w:shd w:fill="003366" w:color="003366" w:val="solid"/>
            <w:tcMar>
              <w:top w:type="dxa" w:w="80"/>
              <w:left w:type="dxa" w:w="120"/>
              <w:bottom w:type="dxa" w:w="80"/>
              <w:right w:type="dxa" w:w="120"/>
            </w:tcMar>
          </w:tcPr>
          <w:p>
            <w:pPr>
              <w:spacing w:line="240" w:lineRule="auto"/>
            </w:pPr>
            <w:r>
              <w:rPr>
                <w:rFonts w:ascii="Arial" w:cs="Arial" w:eastAsia="Arial" w:hAnsi="Arial"/>
                <w:b/>
                <w:bCs/>
                <w:i w:val="false"/>
                <w:iCs w:val="false"/>
                <w:color w:val="FFFFFF"/>
                <w:sz w:val="16"/>
                <w:szCs w:val="16"/>
              </w:rPr>
              <w:t xml:space="preserve">DESCRIPCIÓN E IMPLICACIONES PARA CIB</w:t>
            </w:r>
          </w:p>
        </w:tc>
      </w:tr>
      <w:tr>
        <w:tc>
          <w:tcPr>
            <w:tcW w:type="dxa" w:w="2708"/>
            <w:shd w:fill="FFFFFF" w:color="FFFFFF"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1. VOLUMEN RÉCORD POST-GFC EN EUROPA — €275BN EMISIÓN ESTIMADA 2025</w:t>
            </w:r>
          </w:p>
        </w:tc>
        <w:tc>
          <w:tcPr>
            <w:tcW w:type="dxa" w:w="6318"/>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La emisión total de securitisation europea cerró 2025 en torno a €275bn según proyecciones de KBRA, igualando el máximo post-GFC de 2021 y superando en un 9% YoY los volúmenes a octubre del año anterior. El volumen outstanding (incluyendo CLOs) alcanzó €1.270bn al cierre de Q3 2025, un +6,8% YoY. El mercado colocado —placed issuance— representó el 58,8% del total emitido en 2024, frente al 44,4% en 2023, señalando una mejora estructural de la demanda inversora. Para CaixaBank, este ciclo de expansión abre ventanas de distribución y originación en estructuras tanto tradicionales como sintéticas. La progresión trimestral fue: Q1 outstanding €1.204,9bn (+3,7% YoY), Q2 €1.253,4bn (+5,7% YoY), Q3 €1.270,3bn (+6,8% YoY).</w:t>
            </w:r>
          </w:p>
        </w:tc>
      </w:tr>
      <w:tr>
        <w:tc>
          <w:tcPr>
            <w:tcW w:type="dxa" w:w="2708"/>
            <w:shd w:fill="EDF2F8" w:color="EDF2F8"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2. CLOS EUROPEOS BATEN RÉCORD HISTÓRICO — &gt;€51,75BN DE NUEVA EMISIÓN A NOVIEMBRE</w:t>
            </w:r>
          </w:p>
        </w:tc>
        <w:tc>
          <w:tcPr>
            <w:tcW w:type="dxa" w:w="6318"/>
            <w:shd w:fill="EDF2F8" w:color="EDF2F8"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La emisión de CLOs europeos de nueva creación superó los €51,75bn en los primeros 11 meses de 2025, frente a los €45,9bn de 2024 (previo récord post-GFC), según datos de KopenTech y S&amp;P. El tamaño medio de operación creció hasta €431,2m, con deals como el Arini Capital European CLO VII en €615,7m marcando el nuevo estándar. Se contabilizaban entre 160 y 180 warehouses abiertos en noviembre, frente a 90-100 en el mismo periodo del año anterior, anticipando fuerte pipeline para 2026. Deutsche Bank Research confirmó que la actividad CLO en Q3 superaba el ritmo récord de 2024 tanto en nueva emisión como en repricings. El WACC promedio de CLOs europeos cayó de 222bps (Q2 2024) a 202bps (Q2 2025), abaratando el coste de financiación para los emisores de leveraged loans.</w:t>
            </w:r>
          </w:p>
        </w:tc>
      </w:tr>
      <w:tr>
        <w:tc>
          <w:tcPr>
            <w:tcW w:type="dxa" w:w="2708"/>
            <w:shd w:fill="FFFFFF" w:color="FFFFFF"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3. SRT — MERCADO GLOBAL ALCANZA ~$35BN; ECB IMPLANTA FAST-TRACK Y EBA ARMONIZA GUIDELINES</w:t>
            </w:r>
          </w:p>
        </w:tc>
        <w:tc>
          <w:tcPr>
            <w:tcW w:type="dxa" w:w="6318"/>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El mercado global de Significant Risk Transfer (SRT) se situó en un récord estimado de $35bn en 2025 (vs. ~$29bn en 2024), con Europa representando históricamente hasta el 85% de la emisión global. La emisión trimestral europea de SRT mostró fuerte volatilidad: Q4 2024 €74bn, Q1 2025 ~€25bn, Q2 2025 €54,3bn (+77,5% YoY), Q3 2025 €31,3bn (-0,6% YoY). El BCE implementó un proceso 'SRT Fast-Track' para estructuras estandarizadas, en fase de prueba hasta H1 2025. La EBA finalizó Guidelines para armonizar la evaluación del SRT en toda la UE, abordando el tratamiento regulatorio del synthetic excess spread. Las rentabilidades ofrecidas a inversores superan el 10% en tramos mezzanine, generando una demanda inversora muy superior a la oferta disponible.</w:t>
            </w:r>
          </w:p>
        </w:tc>
      </w:tr>
      <w:tr>
        <w:tc>
          <w:tcPr>
            <w:tcW w:type="dxa" w:w="2708"/>
            <w:shd w:fill="EDF2F8" w:color="EDF2F8"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4. CMBS EUROPEO — EXPLOSIÓN A €8,7BN EN 17 OPERACIONES, MÁXIMO DE MÁS DE UNA DÉCADA</w:t>
            </w:r>
          </w:p>
        </w:tc>
        <w:tc>
          <w:tcPr>
            <w:tcW w:type="dxa" w:w="6318"/>
            <w:shd w:fill="EDF2F8" w:color="EDF2F8"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La emisión de CMBS europeo alcanzó €8,7bn en 17 operaciones durante 2025, frente a €2,2bn en 5 operaciones en 2024 —el mayor volumen anual en más de una década, según Morningstar DBRS. Solo en H1 2025, €4,7bn en 10 operaciones superaron la emisión acumulada de 2023 y 2024 combinados (€3,7bn). Blackstone fue con diferencia el sponsor más activo, protagonizando al menos 6 de las operaciones de mayor tamaño. Los márgenes de notas (WANM) se comprimieron hasta mínimos de cuatro años: 2,04% en GBP y 1,93% en EUR. Esta reactivación del CMBS refleja la creciente participación del crédito privado en la financiación de real estate comercial y la demanda de alternativas a los préstamos bancarios tradicionales.</w:t>
            </w:r>
          </w:p>
        </w:tc>
      </w:tr>
      <w:tr>
        <w:tc>
          <w:tcPr>
            <w:tcW w:type="dxa" w:w="2708"/>
            <w:shd w:fill="FFFFFF" w:color="FFFFFF"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5. VOLATILIDAD DE SPREADS EN Q1-Q2 Y RECUPERACIÓN HACIA MÍNIMOS YTD EN H2</w:t>
            </w:r>
          </w:p>
        </w:tc>
        <w:tc>
          <w:tcPr>
            <w:tcW w:type="dxa" w:w="6318"/>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El anuncio de aranceles de la administración Trump en Q2 2025 provocó una parada técnica en los mercados primarios y una ampliación de spreads comparable a los niveles de inicios de 2024. Los spreads de CLOs doble-B se ampliaron de ~E+475bps a E+600bps a finales de marzo, con retornos de -1,5% en el mes. Los triples-B primarios pasaron de ~290bps (febrero) a ~375bps en el pico de volatilidad. Sin embargo, la volatilidad en crédito securitizado fue notablemente inferior a la del crédito corporativo, dada la menor duración de spread y la mayor calificación media. Tras disiparse la volatilidad, los spreads recuperaron mínimos YTD globalmente en todos los segmentos, con el mercado europeo de ABS cerrando el año 2025 en tono constructivo, impulsado por carry y demanda técnica sólida.</w:t>
            </w:r>
          </w:p>
        </w:tc>
      </w:tr>
    </w:tbl>
    <w:p>
      <w:pPr>
        <w:spacing w:after="0" w:before="200"/>
      </w:pPr>
    </w:p>
    <w:p>
      <w:pPr>
        <w:shd w:fill="1B5E9E" w:color="1B5E9E" w:val="solid"/>
        <w:spacing w:after="0" w:before="360" w:line="240" w:lineRule="auto"/>
      </w:pPr>
      <w:r>
        <w:rPr>
          <w:rFonts w:ascii="Arial" w:cs="Arial" w:eastAsia="Arial" w:hAnsi="Arial"/>
          <w:b/>
          <w:bCs/>
          <w:color w:val="FFFFFF"/>
          <w:sz w:val="20"/>
          <w:szCs w:val="20"/>
        </w:rPr>
        <w:t xml:space="preserve">02 | GRANDES OPERACIONES — STRUCTURED FINANCE  &gt;€100M  (1Q.2025 – 4Q.2025)</w:t>
      </w:r>
    </w:p>
    <w:tbl>
      <w:tblPr>
        <w:tblW w:type="dxa" w:w="9026"/>
        <w:tblBorders>
          <w:top w:val="single" w:color="CCCCCC" w:sz="1"/>
          <w:left w:val="single" w:color="CCCCCC" w:sz="1"/>
          <w:bottom w:val="single" w:color="CCCCCC" w:sz="1"/>
          <w:right w:val="single" w:color="CCCCCC" w:sz="1"/>
          <w:insideH w:val="single" w:color="auto" w:sz="4"/>
          <w:insideV w:val="single" w:color="auto" w:sz="4"/>
        </w:tblBorders>
      </w:tblPr>
      <w:tblGrid>
        <w:gridCol w:w="100"/>
        <w:gridCol w:w="100"/>
        <w:gridCol w:w="100"/>
        <w:gridCol w:w="100"/>
      </w:tblGrid>
      <w:tr>
        <w:trPr>
          <w:tblHeader/>
        </w:trPr>
        <w:tc>
          <w:tcPr>
            <w:tcW w:type="dxa" w:w="1986"/>
            <w:shd w:fill="003366" w:color="003366" w:val="solid"/>
            <w:tcMar>
              <w:top w:type="dxa" w:w="80"/>
              <w:left w:type="dxa" w:w="120"/>
              <w:bottom w:type="dxa" w:w="80"/>
              <w:right w:type="dxa" w:w="120"/>
            </w:tcMar>
          </w:tcPr>
          <w:p>
            <w:pPr>
              <w:spacing w:line="240" w:lineRule="auto"/>
            </w:pPr>
            <w:r>
              <w:rPr>
                <w:rFonts w:ascii="Arial" w:cs="Arial" w:eastAsia="Arial" w:hAnsi="Arial"/>
                <w:b/>
                <w:bCs/>
                <w:i w:val="false"/>
                <w:iCs w:val="false"/>
                <w:color w:val="FFFFFF"/>
                <w:sz w:val="16"/>
                <w:szCs w:val="16"/>
              </w:rPr>
              <w:t xml:space="preserve">OPERACIÓN</w:t>
            </w:r>
          </w:p>
        </w:tc>
        <w:tc>
          <w:tcPr>
            <w:tcW w:type="dxa" w:w="4694"/>
            <w:shd w:fill="003366" w:color="003366" w:val="solid"/>
            <w:tcMar>
              <w:top w:type="dxa" w:w="80"/>
              <w:left w:type="dxa" w:w="120"/>
              <w:bottom w:type="dxa" w:w="80"/>
              <w:right w:type="dxa" w:w="120"/>
            </w:tcMar>
          </w:tcPr>
          <w:p>
            <w:pPr>
              <w:spacing w:line="240" w:lineRule="auto"/>
            </w:pPr>
            <w:r>
              <w:rPr>
                <w:rFonts w:ascii="Arial" w:cs="Arial" w:eastAsia="Arial" w:hAnsi="Arial"/>
                <w:b/>
                <w:bCs/>
                <w:i w:val="false"/>
                <w:iCs w:val="false"/>
                <w:color w:val="FFFFFF"/>
                <w:sz w:val="16"/>
                <w:szCs w:val="16"/>
              </w:rPr>
              <w:t xml:space="preserve">DESCRIPCIÓN</w:t>
            </w:r>
          </w:p>
        </w:tc>
        <w:tc>
          <w:tcPr>
            <w:tcW w:type="dxa" w:w="1264"/>
            <w:shd w:fill="003366" w:color="003366" w:val="solid"/>
            <w:tcMar>
              <w:top w:type="dxa" w:w="80"/>
              <w:left w:type="dxa" w:w="120"/>
              <w:bottom w:type="dxa" w:w="80"/>
              <w:right w:type="dxa" w:w="120"/>
            </w:tcMar>
          </w:tcPr>
          <w:p>
            <w:pPr>
              <w:spacing w:line="240" w:lineRule="auto"/>
              <w:jc w:val="center"/>
            </w:pPr>
            <w:r>
              <w:rPr>
                <w:rFonts w:ascii="Arial" w:cs="Arial" w:eastAsia="Arial" w:hAnsi="Arial"/>
                <w:b/>
                <w:bCs/>
                <w:i w:val="false"/>
                <w:iCs w:val="false"/>
                <w:color w:val="FFFFFF"/>
                <w:sz w:val="16"/>
                <w:szCs w:val="16"/>
              </w:rPr>
              <w:t xml:space="preserve">VOLUMEN</w:t>
            </w:r>
          </w:p>
        </w:tc>
        <w:tc>
          <w:tcPr>
            <w:tcW w:type="dxa" w:w="1082"/>
            <w:shd w:fill="003366" w:color="003366" w:val="solid"/>
            <w:tcMar>
              <w:top w:type="dxa" w:w="80"/>
              <w:left w:type="dxa" w:w="120"/>
              <w:bottom w:type="dxa" w:w="80"/>
              <w:right w:type="dxa" w:w="120"/>
            </w:tcMar>
          </w:tcPr>
          <w:p>
            <w:pPr>
              <w:spacing w:line="240" w:lineRule="auto"/>
              <w:jc w:val="center"/>
            </w:pPr>
            <w:r>
              <w:rPr>
                <w:rFonts w:ascii="Arial" w:cs="Arial" w:eastAsia="Arial" w:hAnsi="Arial"/>
                <w:b/>
                <w:bCs/>
                <w:i w:val="false"/>
                <w:iCs w:val="false"/>
                <w:color w:val="FFFFFF"/>
                <w:sz w:val="16"/>
                <w:szCs w:val="16"/>
              </w:rPr>
              <w:t xml:space="preserve">FECHA</w:t>
            </w:r>
          </w:p>
        </w:tc>
      </w:tr>
      <w:tr>
        <w:tc>
          <w:tcPr>
            <w:tcW w:type="dxa" w:w="1986"/>
            <w:shd w:fill="FFFFFF" w:color="FFFFFF"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BLACKSTONE HAVEN HOLIDAY PARKS CMBS — Mayor CMBS en Reino Unido desde la GFC</w:t>
            </w:r>
          </w:p>
        </w:tc>
        <w:tc>
          <w:tcPr>
            <w:tcW w:type="dxa" w:w="4694"/>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Blackstone ejecutó una titulización CMBS de £1,54bn respaldada por el portfolio de parques de vacaciones Haven en el Reino Unido, la mayor operación de su tipo en el país desde la crisis financiera global. La estructura fue ejecutada en agosto de 2025, con Blackstone como sponsor y múltiples bancos internacionales como arrangers. El driver estratégico fue la refinanciación del portfolio Haven en condiciones más eficientes en capital, aprovechando el renovado apetito inversor por CMBS de activos alternativos. La operación marcó un hito para el mercado europeo de CMBS al demostrar la viabilidad de estructuras de gran tamaño sobre activos de ocio y turismo.</w:t>
            </w:r>
          </w:p>
        </w:tc>
        <w:tc>
          <w:tcPr>
            <w:tcW w:type="dxa" w:w="1264"/>
            <w:shd w:fill="FFFFFF" w:color="FFFFFF" w:val="solid"/>
            <w:tcMar>
              <w:top w:type="dxa" w:w="80"/>
              <w:left w:type="dxa" w:w="120"/>
              <w:bottom w:type="dxa" w:w="80"/>
              <w:right w:type="dxa" w:w="120"/>
            </w:tcMar>
          </w:tcPr>
          <w:p>
            <w:pPr>
              <w:spacing w:line="240" w:lineRule="auto"/>
              <w:jc w:val="center"/>
            </w:pPr>
            <w:r>
              <w:rPr>
                <w:rFonts w:ascii="Arial" w:cs="Arial" w:eastAsia="Arial" w:hAnsi="Arial"/>
                <w:b/>
                <w:bCs/>
                <w:i w:val="false"/>
                <w:iCs w:val="false"/>
                <w:color w:val="1A1A1A"/>
                <w:sz w:val="16"/>
                <w:szCs w:val="16"/>
              </w:rPr>
              <w:t xml:space="preserve">£1.540M</w:t>
            </w:r>
          </w:p>
        </w:tc>
        <w:tc>
          <w:tcPr>
            <w:tcW w:type="dxa" w:w="1082"/>
            <w:shd w:fill="FFFFFF" w:color="FFFFFF" w:val="solid"/>
            <w:tcMar>
              <w:top w:type="dxa" w:w="80"/>
              <w:left w:type="dxa" w:w="120"/>
              <w:bottom w:type="dxa" w:w="80"/>
              <w:right w:type="dxa" w:w="120"/>
            </w:tcMar>
          </w:tcPr>
          <w:p>
            <w:pPr>
              <w:spacing w:line="240" w:lineRule="auto"/>
              <w:jc w:val="center"/>
            </w:pPr>
            <w:r>
              <w:rPr>
                <w:rFonts w:ascii="Arial" w:cs="Arial" w:eastAsia="Arial" w:hAnsi="Arial"/>
                <w:b w:val="false"/>
                <w:bCs w:val="false"/>
                <w:i w:val="false"/>
                <w:iCs w:val="false"/>
                <w:color w:val="1A1A1A"/>
                <w:sz w:val="16"/>
                <w:szCs w:val="16"/>
              </w:rPr>
              <w:t xml:space="preserve">Agosto 2025</w:t>
            </w:r>
          </w:p>
        </w:tc>
      </w:tr>
      <w:tr>
        <w:tc>
          <w:tcPr>
            <w:tcW w:type="dxa" w:w="1986"/>
            <w:shd w:fill="FFFFFF" w:color="FFFFFF"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BLACKSTONE DBMS 2025-1 DAC (WAREHOUSE REIT) — CMBS sobre portfolio logístico UK</w:t>
            </w:r>
          </w:p>
        </w:tc>
        <w:tc>
          <w:tcPr>
            <w:tcW w:type="dxa" w:w="4694"/>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Morgan Stanley y Deutsche Bank lanzaron en diciembre de 2025 DBMS 2025-1 DAC, una titulización CMBS colateralizada por un portfolio de €828,8m de activos principalmente logísticos que Blackstone adquirió en su OPA sobre Warehouse REIT. La estructura fue la última gran operación del año en el mercado europeo de CMBS, cerrando un ejercicio récord. El deal refleja la estrategia de Blackstone de reciclar capital vía securitización tras adquisiciones de real estate. La operación contribuyó al cierre de 2025 con el mayor volumen anual de CMBS europeo en más de una década.</w:t>
            </w:r>
          </w:p>
        </w:tc>
        <w:tc>
          <w:tcPr>
            <w:tcW w:type="dxa" w:w="1264"/>
            <w:shd w:fill="FFFFFF" w:color="FFFFFF" w:val="solid"/>
            <w:tcMar>
              <w:top w:type="dxa" w:w="80"/>
              <w:left w:type="dxa" w:w="120"/>
              <w:bottom w:type="dxa" w:w="80"/>
              <w:right w:type="dxa" w:w="120"/>
            </w:tcMar>
          </w:tcPr>
          <w:p>
            <w:pPr>
              <w:spacing w:line="240" w:lineRule="auto"/>
              <w:jc w:val="center"/>
            </w:pPr>
            <w:r>
              <w:rPr>
                <w:rFonts w:ascii="Arial" w:cs="Arial" w:eastAsia="Arial" w:hAnsi="Arial"/>
                <w:b/>
                <w:bCs/>
                <w:i w:val="false"/>
                <w:iCs w:val="false"/>
                <w:color w:val="1A1A1A"/>
                <w:sz w:val="16"/>
                <w:szCs w:val="16"/>
              </w:rPr>
              <w:t xml:space="preserve">£828,8M</w:t>
            </w:r>
          </w:p>
        </w:tc>
        <w:tc>
          <w:tcPr>
            <w:tcW w:type="dxa" w:w="1082"/>
            <w:shd w:fill="FFFFFF" w:color="FFFFFF" w:val="solid"/>
            <w:tcMar>
              <w:top w:type="dxa" w:w="80"/>
              <w:left w:type="dxa" w:w="120"/>
              <w:bottom w:type="dxa" w:w="80"/>
              <w:right w:type="dxa" w:w="120"/>
            </w:tcMar>
          </w:tcPr>
          <w:p>
            <w:pPr>
              <w:spacing w:line="240" w:lineRule="auto"/>
              <w:jc w:val="center"/>
            </w:pPr>
            <w:r>
              <w:rPr>
                <w:rFonts w:ascii="Arial" w:cs="Arial" w:eastAsia="Arial" w:hAnsi="Arial"/>
                <w:b w:val="false"/>
                <w:bCs w:val="false"/>
                <w:i w:val="false"/>
                <w:iCs w:val="false"/>
                <w:color w:val="1A1A1A"/>
                <w:sz w:val="16"/>
                <w:szCs w:val="16"/>
              </w:rPr>
              <w:t xml:space="preserve">Diciembre 2025</w:t>
            </w:r>
          </w:p>
        </w:tc>
      </w:tr>
      <w:tr>
        <w:tc>
          <w:tcPr>
            <w:tcW w:type="dxa" w:w="1986"/>
            <w:shd w:fill="FFFFFF" w:color="FFFFFF"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BLACKSTONE SEQUOIA LOGISTICS 2025-1 DAC — Primer CMBS de mayor volumen en euros desde 2021</w:t>
            </w:r>
          </w:p>
        </w:tc>
        <w:tc>
          <w:tcPr>
            <w:tcW w:type="dxa" w:w="4694"/>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Sequoia Logistics 2025-1 DAC fue el primer CMBS europeo de gran tamaño del año, arrancando el ciclo récord del mercado. Con €525m de volumen, fue la mayor emisión CMBS denominada en euros desde 2021, y se pricó a un margen medio ponderado de 192bps —el más ajustado para un CMBS directo en cuatro años. La operación fue sponsorizada por Blackstone Real Estate Partners y respaldada por activos de logística europea. El éxito de colocación reactivó el apetito del mercado por CMBS de activos industriales y logísticos en Europa continental.</w:t>
            </w:r>
          </w:p>
        </w:tc>
        <w:tc>
          <w:tcPr>
            <w:tcW w:type="dxa" w:w="1264"/>
            <w:shd w:fill="FFFFFF" w:color="FFFFFF" w:val="solid"/>
            <w:tcMar>
              <w:top w:type="dxa" w:w="80"/>
              <w:left w:type="dxa" w:w="120"/>
              <w:bottom w:type="dxa" w:w="80"/>
              <w:right w:type="dxa" w:w="120"/>
            </w:tcMar>
          </w:tcPr>
          <w:p>
            <w:pPr>
              <w:spacing w:line="240" w:lineRule="auto"/>
              <w:jc w:val="center"/>
            </w:pPr>
            <w:r>
              <w:rPr>
                <w:rFonts w:ascii="Arial" w:cs="Arial" w:eastAsia="Arial" w:hAnsi="Arial"/>
                <w:b/>
                <w:bCs/>
                <w:i w:val="false"/>
                <w:iCs w:val="false"/>
                <w:color w:val="1A1A1A"/>
                <w:sz w:val="16"/>
                <w:szCs w:val="16"/>
              </w:rPr>
              <w:t xml:space="preserve">€525M</w:t>
            </w:r>
          </w:p>
        </w:tc>
        <w:tc>
          <w:tcPr>
            <w:tcW w:type="dxa" w:w="1082"/>
            <w:shd w:fill="FFFFFF" w:color="FFFFFF" w:val="solid"/>
            <w:tcMar>
              <w:top w:type="dxa" w:w="80"/>
              <w:left w:type="dxa" w:w="120"/>
              <w:bottom w:type="dxa" w:w="80"/>
              <w:right w:type="dxa" w:w="120"/>
            </w:tcMar>
          </w:tcPr>
          <w:p>
            <w:pPr>
              <w:spacing w:line="240" w:lineRule="auto"/>
              <w:jc w:val="center"/>
            </w:pPr>
            <w:r>
              <w:rPr>
                <w:rFonts w:ascii="Arial" w:cs="Arial" w:eastAsia="Arial" w:hAnsi="Arial"/>
                <w:b w:val="false"/>
                <w:bCs w:val="false"/>
                <w:i w:val="false"/>
                <w:iCs w:val="false"/>
                <w:color w:val="1A1A1A"/>
                <w:sz w:val="16"/>
                <w:szCs w:val="16"/>
              </w:rPr>
              <w:t xml:space="preserve">Febrero 2025</w:t>
            </w:r>
          </w:p>
        </w:tc>
      </w:tr>
      <w:tr>
        <w:tc>
          <w:tcPr>
            <w:tcW w:type="dxa" w:w="1986"/>
            <w:shd w:fill="FFFFFF" w:color="FFFFFF"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BLACKSTONE UK LAST-MILE LOGISTICS CMBS (INDURENT) — CMBS logístico en libras esterlinas</w:t>
            </w:r>
          </w:p>
        </w:tc>
        <w:tc>
          <w:tcPr>
            <w:tcW w:type="dxa" w:w="4694"/>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Blackstone lanzó en Q4 2025 una operación CMBS de £510m colateralizada por un portfolio de activos logísticos de última milla propiedad de su vehículo Indurent en el Reino Unido. El deal representó una participación de £510m en un préstamo hipotecario de primer rango de £760,3m. La estructura fue diseñada para monetizar la base de activos logísticos acumulada por Blackstone en el Reino Unido, con fuerte demanda inversora dada la calidad del colateral. La operación refleja la consolidación de los activos logísticos como colateral preferente del mercado CMBS europeo.</w:t>
            </w:r>
          </w:p>
        </w:tc>
        <w:tc>
          <w:tcPr>
            <w:tcW w:type="dxa" w:w="1264"/>
            <w:shd w:fill="FFFFFF" w:color="FFFFFF" w:val="solid"/>
            <w:tcMar>
              <w:top w:type="dxa" w:w="80"/>
              <w:left w:type="dxa" w:w="120"/>
              <w:bottom w:type="dxa" w:w="80"/>
              <w:right w:type="dxa" w:w="120"/>
            </w:tcMar>
          </w:tcPr>
          <w:p>
            <w:pPr>
              <w:spacing w:line="240" w:lineRule="auto"/>
              <w:jc w:val="center"/>
            </w:pPr>
            <w:r>
              <w:rPr>
                <w:rFonts w:ascii="Arial" w:cs="Arial" w:eastAsia="Arial" w:hAnsi="Arial"/>
                <w:b/>
                <w:bCs/>
                <w:i w:val="false"/>
                <w:iCs w:val="false"/>
                <w:color w:val="1A1A1A"/>
                <w:sz w:val="16"/>
                <w:szCs w:val="16"/>
              </w:rPr>
              <w:t xml:space="preserve">£510M</w:t>
            </w:r>
          </w:p>
        </w:tc>
        <w:tc>
          <w:tcPr>
            <w:tcW w:type="dxa" w:w="1082"/>
            <w:shd w:fill="FFFFFF" w:color="FFFFFF" w:val="solid"/>
            <w:tcMar>
              <w:top w:type="dxa" w:w="80"/>
              <w:left w:type="dxa" w:w="120"/>
              <w:bottom w:type="dxa" w:w="80"/>
              <w:right w:type="dxa" w:w="120"/>
            </w:tcMar>
          </w:tcPr>
          <w:p>
            <w:pPr>
              <w:spacing w:line="240" w:lineRule="auto"/>
              <w:jc w:val="center"/>
            </w:pPr>
            <w:r>
              <w:rPr>
                <w:rFonts w:ascii="Arial" w:cs="Arial" w:eastAsia="Arial" w:hAnsi="Arial"/>
                <w:b w:val="false"/>
                <w:bCs w:val="false"/>
                <w:i w:val="false"/>
                <w:iCs w:val="false"/>
                <w:color w:val="1A1A1A"/>
                <w:sz w:val="16"/>
                <w:szCs w:val="16"/>
              </w:rPr>
              <w:t xml:space="preserve">Q4 2025</w:t>
            </w:r>
          </w:p>
        </w:tc>
      </w:tr>
      <w:tr>
        <w:tc>
          <w:tcPr>
            <w:tcW w:type="dxa" w:w="1986"/>
            <w:shd w:fill="FFFFFF" w:color="FFFFFF"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NATWEST RENEWABLES SRT — Premio GlobalCapital 'SRT Deal of the Year'</w:t>
            </w:r>
          </w:p>
        </w:tc>
        <w:tc>
          <w:tcPr>
            <w:tcW w:type="dxa" w:w="4694"/>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NatWest ejecutó una operación de Significant Risk Transfer de £1,1bn referenciada a una cartera de préstamos de energías renovables, siendo galardonada como 'SRT Deal of the Year' por GlobalCapital en sus European Securitization Awards 2025. Los inversores de protección incluyeron a Christofferson Robb &amp; Company y Nuveen Infrastructure, con NatWest Markets como arranger y Clifford Chance como asesor legal. El driver fue la optimización de RWAs sobre una cartera de activos estratégicamente sensibles en el contexto de la transición energética. La operación sentó precedente para SRTs sobre carteras verdes y de infraestructura en Europa.</w:t>
            </w:r>
          </w:p>
        </w:tc>
        <w:tc>
          <w:tcPr>
            <w:tcW w:type="dxa" w:w="1264"/>
            <w:shd w:fill="FFFFFF" w:color="FFFFFF" w:val="solid"/>
            <w:tcMar>
              <w:top w:type="dxa" w:w="80"/>
              <w:left w:type="dxa" w:w="120"/>
              <w:bottom w:type="dxa" w:w="80"/>
              <w:right w:type="dxa" w:w="120"/>
            </w:tcMar>
          </w:tcPr>
          <w:p>
            <w:pPr>
              <w:spacing w:line="240" w:lineRule="auto"/>
              <w:jc w:val="center"/>
            </w:pPr>
            <w:r>
              <w:rPr>
                <w:rFonts w:ascii="Arial" w:cs="Arial" w:eastAsia="Arial" w:hAnsi="Arial"/>
                <w:b/>
                <w:bCs/>
                <w:i w:val="false"/>
                <w:iCs w:val="false"/>
                <w:color w:val="1A1A1A"/>
                <w:sz w:val="16"/>
                <w:szCs w:val="16"/>
              </w:rPr>
              <w:t xml:space="preserve">£1.100M</w:t>
            </w:r>
          </w:p>
        </w:tc>
        <w:tc>
          <w:tcPr>
            <w:tcW w:type="dxa" w:w="1082"/>
            <w:shd w:fill="FFFFFF" w:color="FFFFFF" w:val="solid"/>
            <w:tcMar>
              <w:top w:type="dxa" w:w="80"/>
              <w:left w:type="dxa" w:w="120"/>
              <w:bottom w:type="dxa" w:w="80"/>
              <w:right w:type="dxa" w:w="120"/>
            </w:tcMar>
          </w:tcPr>
          <w:p>
            <w:pPr>
              <w:spacing w:line="240" w:lineRule="auto"/>
              <w:jc w:val="center"/>
            </w:pPr>
            <w:r>
              <w:rPr>
                <w:rFonts w:ascii="Arial" w:cs="Arial" w:eastAsia="Arial" w:hAnsi="Arial"/>
                <w:b w:val="false"/>
                <w:bCs w:val="false"/>
                <w:i w:val="false"/>
                <w:iCs w:val="false"/>
                <w:color w:val="1A1A1A"/>
                <w:sz w:val="16"/>
                <w:szCs w:val="16"/>
              </w:rPr>
              <w:t xml:space="preserve">2025 [Verificación pendiente: trimestre exacto]</w:t>
            </w:r>
          </w:p>
        </w:tc>
      </w:tr>
      <w:tr>
        <w:tc>
          <w:tcPr>
            <w:tcW w:type="dxa" w:w="1986"/>
            <w:shd w:fill="FFFFFF" w:color="FFFFFF"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NATWEST CRE SRT — Transferencia sintética referenciada a cartera inmobiliaria comercial</w:t>
            </w:r>
          </w:p>
        </w:tc>
        <w:tc>
          <w:tcPr>
            <w:tcW w:type="dxa" w:w="4694"/>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NatWest planificó en Q4 2025 una operación de transferencia sintética de riesgo (SRT) referenciada a una cartera de £3,5bn de préstamos de real estate comercial, según información de Bloomberg. La operación seguía el patrón de múltiples SRTs ejecutados por NatWest a lo largo del año sobre diferentes clases de activo. En el ejercicio completo, NatWest completó cinco transacciones SRT en su división Commercial &amp; Institutional, logrando una optimización acumulada de GBP 4,6bn de RWA. Esta operación refleja la aceleración de los bancos europeos en el uso de SRTs para gestionar capital ante el incremento regulatorio de los requerimientos derivados del output floor de Basilea IV.</w:t>
            </w:r>
          </w:p>
        </w:tc>
        <w:tc>
          <w:tcPr>
            <w:tcW w:type="dxa" w:w="1264"/>
            <w:shd w:fill="FFFFFF" w:color="FFFFFF" w:val="solid"/>
            <w:tcMar>
              <w:top w:type="dxa" w:w="80"/>
              <w:left w:type="dxa" w:w="120"/>
              <w:bottom w:type="dxa" w:w="80"/>
              <w:right w:type="dxa" w:w="120"/>
            </w:tcMar>
          </w:tcPr>
          <w:p>
            <w:pPr>
              <w:spacing w:line="240" w:lineRule="auto"/>
              <w:jc w:val="center"/>
            </w:pPr>
            <w:r>
              <w:rPr>
                <w:rFonts w:ascii="Arial" w:cs="Arial" w:eastAsia="Arial" w:hAnsi="Arial"/>
                <w:b/>
                <w:bCs/>
                <w:i w:val="false"/>
                <w:iCs w:val="false"/>
                <w:color w:val="1A1A1A"/>
                <w:sz w:val="16"/>
                <w:szCs w:val="16"/>
              </w:rPr>
              <w:t xml:space="preserve">£3.500M (cartera referenciada)</w:t>
            </w:r>
          </w:p>
        </w:tc>
        <w:tc>
          <w:tcPr>
            <w:tcW w:type="dxa" w:w="1082"/>
            <w:shd w:fill="FFFFFF" w:color="FFFFFF" w:val="solid"/>
            <w:tcMar>
              <w:top w:type="dxa" w:w="80"/>
              <w:left w:type="dxa" w:w="120"/>
              <w:bottom w:type="dxa" w:w="80"/>
              <w:right w:type="dxa" w:w="120"/>
            </w:tcMar>
          </w:tcPr>
          <w:p>
            <w:pPr>
              <w:spacing w:line="240" w:lineRule="auto"/>
              <w:jc w:val="center"/>
            </w:pPr>
            <w:r>
              <w:rPr>
                <w:rFonts w:ascii="Arial" w:cs="Arial" w:eastAsia="Arial" w:hAnsi="Arial"/>
                <w:b w:val="false"/>
                <w:bCs w:val="false"/>
                <w:i w:val="false"/>
                <w:iCs w:val="false"/>
                <w:color w:val="1A1A1A"/>
                <w:sz w:val="16"/>
                <w:szCs w:val="16"/>
              </w:rPr>
              <w:t xml:space="preserve">Noviembre 2025</w:t>
            </w:r>
          </w:p>
        </w:tc>
      </w:tr>
      <w:tr>
        <w:tc>
          <w:tcPr>
            <w:tcW w:type="dxa" w:w="1986"/>
            <w:shd w:fill="FFFFFF" w:color="FFFFFF"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ARINI CAPITAL EUROPEAN CLO VII — CLO de nueva emisión en tamaño por encima del estándar de mercado</w:t>
            </w:r>
          </w:p>
        </w:tc>
        <w:tc>
          <w:tcPr>
            <w:tcW w:type="dxa" w:w="4694"/>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Arini Capital Management pricó European CLO VII con un volumen de €615,7m, situándose por encima del estándar de mercado europeo de €400-430m y demostrando la capacidad de gestores establecidos para ejecutar operaciones de mayor tamaño en un entorno de spreads comprimidos. La operación fue una de las referencias del mercado CLO europeo en 2025 en términos de tamaño. El deal contribuyó a elevar el tamaño medio de nueva emisión CLO en Europa hasta €431,2m (enero-noviembre 2025 según KopenTech), frente al estándar histórico de ~€400m. Refleja el apetito de inversores institucionales —incluidos japoneses— por CLOs europeos de mayor tamaño y liquidez.</w:t>
            </w:r>
          </w:p>
        </w:tc>
        <w:tc>
          <w:tcPr>
            <w:tcW w:type="dxa" w:w="1264"/>
            <w:shd w:fill="FFFFFF" w:color="FFFFFF" w:val="solid"/>
            <w:tcMar>
              <w:top w:type="dxa" w:w="80"/>
              <w:left w:type="dxa" w:w="120"/>
              <w:bottom w:type="dxa" w:w="80"/>
              <w:right w:type="dxa" w:w="120"/>
            </w:tcMar>
          </w:tcPr>
          <w:p>
            <w:pPr>
              <w:spacing w:line="240" w:lineRule="auto"/>
              <w:jc w:val="center"/>
            </w:pPr>
            <w:r>
              <w:rPr>
                <w:rFonts w:ascii="Arial" w:cs="Arial" w:eastAsia="Arial" w:hAnsi="Arial"/>
                <w:b/>
                <w:bCs/>
                <w:i w:val="false"/>
                <w:iCs w:val="false"/>
                <w:color w:val="1A1A1A"/>
                <w:sz w:val="16"/>
                <w:szCs w:val="16"/>
              </w:rPr>
              <w:t xml:space="preserve">€615,7M</w:t>
            </w:r>
          </w:p>
        </w:tc>
        <w:tc>
          <w:tcPr>
            <w:tcW w:type="dxa" w:w="1082"/>
            <w:shd w:fill="FFFFFF" w:color="FFFFFF" w:val="solid"/>
            <w:tcMar>
              <w:top w:type="dxa" w:w="80"/>
              <w:left w:type="dxa" w:w="120"/>
              <w:bottom w:type="dxa" w:w="80"/>
              <w:right w:type="dxa" w:w="120"/>
            </w:tcMar>
          </w:tcPr>
          <w:p>
            <w:pPr>
              <w:spacing w:line="240" w:lineRule="auto"/>
              <w:jc w:val="center"/>
            </w:pPr>
            <w:r>
              <w:rPr>
                <w:rFonts w:ascii="Arial" w:cs="Arial" w:eastAsia="Arial" w:hAnsi="Arial"/>
                <w:b w:val="false"/>
                <w:bCs w:val="false"/>
                <w:i w:val="false"/>
                <w:iCs w:val="false"/>
                <w:color w:val="1A1A1A"/>
                <w:sz w:val="16"/>
                <w:szCs w:val="16"/>
              </w:rPr>
              <w:t xml:space="preserve">2025 [Verificación pendiente: trimestre exacto]</w:t>
            </w:r>
          </w:p>
        </w:tc>
      </w:tr>
      <w:tr>
        <w:tc>
          <w:tcPr>
            <w:tcW w:type="dxa" w:w="1986"/>
            <w:shd w:fill="FFFFFF" w:color="FFFFFF"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ABN AMRO / BLACKSTONE SRT — Primera colaboración entre la entidad holandesa y Blackstone en SRT</w:t>
            </w:r>
          </w:p>
        </w:tc>
        <w:tc>
          <w:tcPr>
            <w:tcW w:type="dxa" w:w="4694"/>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ABN AMRO cerró una operación SRT referenciada a una cartera de €2bn de préstamos a grandes corporaciones, con Blackstone como inversor de protección en lo que constituyó la primera colaboración entre ambas entidades en este segmento —la tercera operación de portfolio management SRT de ABN AMRO. La elección de Blackstone como counterparty refleja la tendencia de las gestoras de activos alternativos a escalar su presencia en el mercado SRT europeo, compitiendo con hedge funds tradicionales. La operación ofrece a ABN AMRO significativa liberación de capital regulatorio sobre carteras corporativas de alta calidad. [Verificación pendiente: fecha exacta de cierre]</w:t>
            </w:r>
          </w:p>
        </w:tc>
        <w:tc>
          <w:tcPr>
            <w:tcW w:type="dxa" w:w="1264"/>
            <w:shd w:fill="FFFFFF" w:color="FFFFFF" w:val="solid"/>
            <w:tcMar>
              <w:top w:type="dxa" w:w="80"/>
              <w:left w:type="dxa" w:w="120"/>
              <w:bottom w:type="dxa" w:w="80"/>
              <w:right w:type="dxa" w:w="120"/>
            </w:tcMar>
          </w:tcPr>
          <w:p>
            <w:pPr>
              <w:spacing w:line="240" w:lineRule="auto"/>
              <w:jc w:val="center"/>
            </w:pPr>
            <w:r>
              <w:rPr>
                <w:rFonts w:ascii="Arial" w:cs="Arial" w:eastAsia="Arial" w:hAnsi="Arial"/>
                <w:b/>
                <w:bCs/>
                <w:i w:val="false"/>
                <w:iCs w:val="false"/>
                <w:color w:val="1A1A1A"/>
                <w:sz w:val="16"/>
                <w:szCs w:val="16"/>
              </w:rPr>
              <w:t xml:space="preserve">€2.000M (cartera referenciada)</w:t>
            </w:r>
          </w:p>
        </w:tc>
        <w:tc>
          <w:tcPr>
            <w:tcW w:type="dxa" w:w="1082"/>
            <w:shd w:fill="FFFFFF" w:color="FFFFFF" w:val="solid"/>
            <w:tcMar>
              <w:top w:type="dxa" w:w="80"/>
              <w:left w:type="dxa" w:w="120"/>
              <w:bottom w:type="dxa" w:w="80"/>
              <w:right w:type="dxa" w:w="120"/>
            </w:tcMar>
          </w:tcPr>
          <w:p>
            <w:pPr>
              <w:spacing w:line="240" w:lineRule="auto"/>
              <w:jc w:val="center"/>
            </w:pPr>
            <w:r>
              <w:rPr>
                <w:rFonts w:ascii="Arial" w:cs="Arial" w:eastAsia="Arial" w:hAnsi="Arial"/>
                <w:b w:val="false"/>
                <w:bCs w:val="false"/>
                <w:i w:val="false"/>
                <w:iCs w:val="false"/>
                <w:color w:val="1A1A1A"/>
                <w:sz w:val="16"/>
                <w:szCs w:val="16"/>
              </w:rPr>
              <w:t xml:space="preserve">2025 [Verificación pendiente: trimestre exacto]</w:t>
            </w:r>
          </w:p>
        </w:tc>
      </w:tr>
    </w:tbl>
    <w:p>
      <w:pPr>
        <w:spacing w:after="0" w:before="200"/>
      </w:pPr>
    </w:p>
    <w:p>
      <w:pPr>
        <w:shd w:fill="EDF2F8" w:color="EDF2F8" w:val="solid"/>
        <w:spacing w:after="40" w:before="400" w:line="240" w:lineRule="auto"/>
      </w:pPr>
      <w:r>
        <w:rPr>
          <w:rFonts w:ascii="Arial" w:cs="Arial" w:eastAsia="Arial" w:hAnsi="Arial"/>
          <w:b/>
          <w:bCs/>
          <w:color w:val="1A1A1A"/>
          <w:sz w:val="14"/>
          <w:szCs w:val="14"/>
        </w:rPr>
        <w:t xml:space="preserve">FUENTES: </w:t>
      </w:r>
      <w:r>
        <w:rPr>
          <w:rFonts w:ascii="Arial" w:cs="Arial" w:eastAsia="Arial" w:hAnsi="Arial"/>
          <w:color w:val="666666"/>
          <w:sz w:val="14"/>
          <w:szCs w:val="14"/>
        </w:rPr>
        <w:t xml:space="preserve">AFME European Securitisation Data Report Q1 2025 (https://www.afme.eu/publications/data-research/afme-q1-2025-securitisation-data-report/) · AFME European Securitisation Data Report Q2 2025 (https://www.afme.eu/publications/data-research/afme-q2-2025-securitisation-report/) · AFME European Securitisation Data Report Q3 2025 (https://www.afme.eu/publications/data-research/afme-q3-2025-securitisation-report/) · AFME Securitisation Data Report Q4 2024 &amp; Full Year 2024 (https://www.afme.eu/publications/data-research/securitisation-data-report-q4-2024-2024-full-year/) · ESMA EU Securitisation Markets Overview (https://www.esma.europa.eu/press-news/esma-news/esma-provides-overview-eu-securitisation-markets) · ESMA/EBA/EIOPA Joint Committee Report on Securitisation Regulation JC 2025 14 (https://www.esma.europa.eu/sites/default/files/2025-03/JC_2025_14_Joint_Committee_report_on_the_functionning_of_the_securitisation_regulation.pdf) · EBA Guidelines on Significant Risk Transfer (SRT) for Securitisation Transactions (https://www.eba.europa.eu/guidelines-significant-risk-transfer-srt-securitisation-transactions) · GlobalCapital European ABS &amp; CLOs — Market coverage and European Securitization Awards 2025 (https://www.globalcapital.com/european-securitization-awards-2025) · GlobalCapital European ABS on its feet and ready for more in 2026 (https://www.globalcapital.com/article/2fqde5s78nglqb7cnq7lt/securitization/abs-europe/european-abs-on-its-feet-and-ready-for-more-in-2026) · KBRA 2026 European Structured Finance Sector Outlook: Resilient Foundations Supporting Continued Growth (https://www.kbra.com/publications/FBBPzmNr) · Deutsche Bank Research — Outlook for CLOs in 2025 (https://flow.db.com/trust-and-agency-services/outlook-for-clos-in-2025-reason-for-optimism) · Deutsche Bank Research — Have CLOs become a safe haven? (https://flow.db.com/topics/trust-and-securities-services/have-clos-become-a-safe-haven) · Pemberton Asset Management — Significant Risk Transfer (SRT) Chronicles 2025 (https://pembertonam.com/insights/significant-risk-transfer-srt-chronicles-2025/) · Chenavari Investment Managers — European Securitisation in 2026: ABS, CLO and SRT (https://www.chenavari.com/wp-content/uploads/2026/02/European-securitisation-in-2026_EXTERNAL.pdf) · ECB Fast-Track for SRT Securitisations — Mayer Brown (https://www.mayerbrown.com/en/insights/publications/2025/03/ecb-fast-track-for-significant-risk-transfer-srt-securitisations) · IMF Working Paper WP/25/200 — Synthetic Risk Transfers (https://www.imf.org/-/media/files/publications/wp/2025/english/wpiea2025200-source-pdf.pdf) · Bloomberg Law — NatWest SRT leveraged loans (https://news.bloomberglaw.com/private-equity/natwest-plans-srt-tied-to-almost-1-billion-of-leverage-loans) · Bloomberg Law — NatWest SRT CRE loans £3.5bn (https://news.bloomberglaw.com/banking-law/natwest-plans-srt-linked-to-3-5-billion-of-real-estate-loans) · CoStar — UK and Europe CMBS issuance soared in 2025 (https://www.costar.com/article/555894620/uk-and-europe-cmbs-issuance-soared-in-2025-with-rise-set-to-continue) · CoStar — Blackstone £510m UK last-mile logistics CMBS (https://www.costar.com/article/2078719188/blackstone-510-million-uk-last-mile-logistics-cmbs-launches) · ARC Analytics — Freshly Squeezed: European ABS 2025 Report Card and Year-End Review (https://www.arcanalytics.com/insights/european-abs-report-card-2025---part-2) · Structured Credit Investor — European CLO issuance up year-on-year (https://www.structuredcreditinvestor.com/news-analysis/clos/83959/european-clo-issuance-up-year-on-year) · Structured Credit Investor — European ABS ends 2025 on strong footing (https://www.structuredcreditinvestor.com/news-analysis/abs/84513/european-abs-ends-2025-on-strong-footing-as-carry-drives-returns)</w:t>
      </w:r>
    </w:p>
    <w:p>
      <w:pPr>
        <w:shd w:fill="EDF2F8" w:color="EDF2F8" w:val="solid"/>
        <w:spacing w:after="80" w:before="0" w:line="240" w:lineRule="auto"/>
      </w:pPr>
      <w:r>
        <w:rPr>
          <w:rFonts w:ascii="Arial" w:cs="Arial" w:eastAsia="Arial" w:hAnsi="Arial"/>
          <w:i/>
          <w:iCs/>
          <w:color w:val="666666"/>
          <w:sz w:val="14"/>
          <w:szCs w:val="14"/>
        </w:rPr>
        <w:t xml:space="preserve">Documento preparado para uso interno del Consejo de Administración de CaixaBank · CIB — Global Investment Banking · 1Q.2025 – 4Q.2025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6"/>
        <w:szCs w:val="16"/>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2026-03-02T21:31:51.501Z</dcterms:created>
  <dcterms:modified xsi:type="dcterms:W3CDTF">2026-03-02T21:31:51.501Z</dcterms:modified>
</cp:coreProperties>
</file>

<file path=docProps/custom.xml><?xml version="1.0" encoding="utf-8"?>
<Properties xmlns="http://schemas.openxmlformats.org/officeDocument/2006/custom-properties" xmlns:vt="http://schemas.openxmlformats.org/officeDocument/2006/docPropsVTypes"/>
</file>