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B3A6B" w:color="1B3A6B" w:val="solid"/>
        <w:spacing w:after="0" w:before="200" w:line="240" w:lineRule="auto"/>
      </w:pPr>
      <w:r>
        <w:rPr>
          <w:rFonts w:ascii="Arial" w:cs="Arial" w:eastAsia="Arial" w:hAnsi="Arial"/>
          <w:b/>
          <w:bCs/>
          <w:color w:val="FFFFFF"/>
          <w:sz w:val="28"/>
          <w:szCs w:val="28"/>
        </w:rPr>
        <w:t xml:space="preserve">VISIÓN GENERAL DEL MERCADO</w:t>
      </w:r>
    </w:p>
    <w:p>
      <w:pPr>
        <w:shd w:fill="1B3A6B" w:color="1B3A6B" w:val="solid"/>
        <w:spacing w:after="0" w:before="0" w:line="240" w:lineRule="auto"/>
      </w:pPr>
      <w:r>
        <w:rPr>
          <w:rFonts w:ascii="Arial" w:cs="Arial" w:eastAsia="Arial" w:hAnsi="Arial"/>
          <w:color w:val="FFFFFF"/>
          <w:sz w:val="16"/>
          <w:szCs w:val="16"/>
        </w:rPr>
        <w:t xml:space="preserve">Presentación al Consejo de Administración · 1Q 2025 – 4Q 2025</w:t>
      </w:r>
    </w:p>
    <w:p>
      <w:pPr>
        <w:shd w:fill="1B3A6B" w:color="1B3A6B" w:val="solid"/>
        <w:spacing w:after="200" w:before="0" w:line="240" w:lineRule="auto"/>
      </w:pPr>
      <w:r>
        <w:rPr>
          <w:rFonts w:ascii="Arial" w:cs="Arial" w:eastAsia="Arial" w:hAnsi="Arial"/>
          <w:i/>
          <w:iCs/>
          <w:color w:val="FFFFFF"/>
          <w:sz w:val="14"/>
          <w:szCs w:val="14"/>
        </w:rPr>
        <w:t xml:space="preserve">Mercado Internacional · Fuentes: ECB, J.P. Morgan, Goldman Sachs, Morgan Stanley, McKinsey, Dealogic, Bloomberg</w:t>
      </w:r>
    </w:p>
    <w:p>
      <w:pPr>
        <w:spacing w:after="300" w:before="200" w:line="240" w:lineRule="auto"/>
      </w:pPr>
      <w:r>
        <w:rPr>
          <w:rFonts w:ascii="Arial" w:cs="Arial" w:eastAsia="Arial" w:hAnsi="Arial"/>
          <w:color w:val="1A1A1A"/>
          <w:sz w:val="16"/>
          <w:szCs w:val="16"/>
        </w:rPr>
        <w:t xml:space="preserve">El año 2025 marca la consolidación de la recuperación del Investment Banking global tras el ciclo de contracción 2022-2023: los volúmenes de M&amp;A alcanzaron ~4,9 billones de dólares —segundo registro histórico—, las revenues de ECM volvieron a máximos desde 2021, y el DCM prosiguió como mayor pool de ingresos. El telón de fondo estuvo dominado por la volatilidad arancelaria de EEUU, la pausa de la política monetaria del BCE en zona neutral (2,00% depósito), el avance estructural del crédito privado y la irrupción escalar de la IA generativa en los modelos operativos de los grandes bancos de inversión.</w:t>
      </w:r>
    </w:p>
    <w:p>
      <w:pPr>
        <w:shd w:fill="1B3A6B" w:color="1B3A6B" w:val="solid"/>
        <w:spacing w:after="0" w:before="300" w:line="240" w:lineRule="auto"/>
      </w:pPr>
      <w:r>
        <w:rPr>
          <w:rFonts w:ascii="Arial" w:cs="Arial" w:eastAsia="Arial" w:hAnsi="Arial"/>
          <w:b/>
          <w:bCs/>
          <w:color w:val="E87722"/>
          <w:sz w:val="20"/>
          <w:szCs w:val="20"/>
        </w:rPr>
        <w:t xml:space="preserve">KLA 1 | </w:t>
      </w:r>
      <w:r>
        <w:rPr>
          <w:rFonts w:ascii="Arial" w:cs="Arial" w:eastAsia="Arial" w:hAnsi="Arial"/>
          <w:b/>
          <w:bCs/>
          <w:color w:val="FFFFFF"/>
          <w:sz w:val="20"/>
          <w:szCs w:val="20"/>
        </w:rPr>
        <w:t xml:space="preserve">Reapertura de mercados: M&amp;A y ECM en máximos de ciclo: Recuperación del deal-making global</w:t>
      </w:r>
    </w:p>
    <w:p>
      <w:pPr>
        <w:shd w:fill="1B3A6B" w:color="1B3A6B" w:val="solid"/>
        <w:spacing w:after="0" w:before="0" w:line="240" w:lineRule="auto"/>
      </w:pPr>
      <w:r>
        <w:rPr>
          <w:rFonts w:ascii="Arial" w:cs="Arial" w:eastAsia="Arial" w:hAnsi="Arial"/>
          <w:i/>
          <w:iCs/>
          <w:color w:val="FFFFFF"/>
          <w:sz w:val="14"/>
          <w:szCs w:val="14"/>
        </w:rPr>
        <w:t xml:space="preserve">M&amp;A global ~4,9 bn$ (+36% vs 2024) · ECM en máximos desde 2021 (+21% volumen) · Advisory fees en niveles post-pandemia</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Situación actual</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M&amp;A global cerró 2025 con un valor agregado cercano a 4,9 billones de dólares, el segundo registro histórico según Bain &amp; Company, con +38% en transacciones estratégicas y +31% en operaciones de financial sponsors. Se contabilizaron más de 75 transacciones por encima de 5.000 millones de dólares hasta Q3. El ECM global superó niveles no vistos desde 2021, con ingresos por suscripción de equity +18% interanual. Las revenues de advisory en bancos top-5 (JPMorgan, Goldman Sachs, Morgan Stanley, BofA, Citi) crecieron en doble dígito: JPMorgan +12% en Q1, Goldman Sachs +25% en Q4, Morgan Stanley +47% en Q4.</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Drivers del ciclo</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recuperación fue impulsada por: (i) la estabilización del coste de capital y la bajada acumulada de tipos desde mediados de 2024; (ii) la confianza de los consejos de administración en entornos de beneficios corporativos sólidos; (iii) el desbloqueo de pipeline retenido desde 2022-2023; y (iv) la aceleración de mega-operaciones en tecnología, energía e inteligencia artificial —con la IA como catalizador directo de M&amp;A en semiconductores, centros de datos y software—. Los take-privates crecieron un 43% en valor en 2025, con Norteamérica liderando (+72%).</w:t>
            </w:r>
          </w:p>
        </w:tc>
      </w:tr>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Riesgo principal</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recuperación está concentrada geográficamente: EEUU aceleró +41% en valor de deals, mientras Europa cayó 4% y Asia-Pacífico retrocedió 18%. El volumen agregado de operaciones (deal count) sigue por debajo del número de transacciones de 2021, lo que implica que la recuperación descansa en mega-deals, no en una apertura amplia del mercado medio. Existe riesgo de 'merger indigestion' si las integraciones simultáneas no generan sinergias en los plazos prometidos.</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Implicación CIB</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CaixaBank CIB debe priorizar su posicionamiento en operaciones de mid-market en sectores estratégicos para España y Europa (energías renovables, infraestructura digital, transición energética), donde los bancos pan-europeos mantienen ventaja competitiva frente a bulge bracket americanos. La concentración de fees en mega-deals exige selectividad: es más rentable ser mandated en un deal de 1.000-3.000 M€ con alta probabilidad de cierre que perseguir competidores de bulge bracket en operaciones de 10.000 M€+.</w:t>
            </w:r>
          </w:p>
        </w:tc>
      </w:tr>
    </w:tbl>
    <w:p>
      <w:pPr>
        <w:shd w:fill="2C3E5A" w:color="2C3E5A" w:val="solid"/>
        <w:spacing w:after="0" w:before="80" w:line="240" w:lineRule="auto"/>
      </w:pPr>
      <w:r>
        <w:rPr>
          <w:rFonts w:ascii="Arial" w:cs="Arial" w:eastAsia="Arial" w:hAnsi="Arial"/>
          <w:b/>
          <w:bCs/>
          <w:color w:val="FFFFFF"/>
          <w:sz w:val="16"/>
          <w:szCs w:val="16"/>
        </w:rPr>
        <w:t xml:space="preserve">⚑  Señal clave</w:t>
      </w:r>
    </w:p>
    <w:p>
      <w:pPr>
        <w:shd w:fill="2C3E5A" w:color="2C3E5A" w:val="solid"/>
        <w:spacing w:after="200" w:before="0" w:line="240" w:lineRule="auto"/>
      </w:pPr>
      <w:r>
        <w:rPr>
          <w:rFonts w:ascii="Arial" w:cs="Arial" w:eastAsia="Arial" w:hAnsi="Arial"/>
          <w:color w:val="FFFFFF"/>
          <w:sz w:val="16"/>
          <w:szCs w:val="16"/>
        </w:rPr>
        <w:t xml:space="preserve">2025 confirma la reapertura del ciclo IB, pero la recuperación es desigual: liderada por EEUU y por mega-deals. Para un banco europeo de tamaño medio, la ventana de oportunidad está en el mid-market sectorial europeo —renovables, infraestructura, transición energética— donde la ventaja relacional supera a la ventaja de balance.</w:t>
      </w:r>
    </w:p>
    <w:p>
      <w:pPr>
        <w:shd w:fill="1B3A6B" w:color="1B3A6B" w:val="solid"/>
        <w:spacing w:after="0" w:before="300" w:line="240" w:lineRule="auto"/>
      </w:pPr>
      <w:r>
        <w:rPr>
          <w:rFonts w:ascii="Arial" w:cs="Arial" w:eastAsia="Arial" w:hAnsi="Arial"/>
          <w:b/>
          <w:bCs/>
          <w:color w:val="E87722"/>
          <w:sz w:val="20"/>
          <w:szCs w:val="20"/>
        </w:rPr>
        <w:t xml:space="preserve">KLA 2 | </w:t>
      </w:r>
      <w:r>
        <w:rPr>
          <w:rFonts w:ascii="Arial" w:cs="Arial" w:eastAsia="Arial" w:hAnsi="Arial"/>
          <w:b/>
          <w:bCs/>
          <w:color w:val="FFFFFF"/>
          <w:sz w:val="20"/>
          <w:szCs w:val="20"/>
        </w:rPr>
        <w:t xml:space="preserve">Política monetaria en zona neutral: fin del ciclo de bajadas: BCE pausado · Fed en ajuste · Tipos estabilizados pero crédito corporativo aún contenido</w:t>
      </w:r>
    </w:p>
    <w:p>
      <w:pPr>
        <w:shd w:fill="1B3A6B" w:color="1B3A6B" w:val="solid"/>
        <w:spacing w:after="0" w:before="0" w:line="240" w:lineRule="auto"/>
      </w:pPr>
      <w:r>
        <w:rPr>
          <w:rFonts w:ascii="Arial" w:cs="Arial" w:eastAsia="Arial" w:hAnsi="Arial"/>
          <w:i/>
          <w:iCs/>
          <w:color w:val="FFFFFF"/>
          <w:sz w:val="14"/>
          <w:szCs w:val="14"/>
        </w:rPr>
        <w:t xml:space="preserve">BCE: depósito al 2,00% tras 8 bajadas · Inflación convergiendo al 2% en eurozona · Crédito corporativo +2,9% YoY, aún por debajo de potencial</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Situación actual</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BCE completó ocho recortes de tipos desde junio 2024 a junio 2025, llevando la facilidad de depósito al 2,00%, la MRO al 2,15% y la facilidad marginal de crédito al 2,40%. El tipo de préstamo bancario a empresas se sitúa en 3,5% (octubre 2025), estable desde el verano. La inflación subyacente converge hacia el objetivo del 2% para 2026-2027 según proyecciones del Eurosistema. La postura del Consejo de Gobierno es de pausa data-dependent: sin bajadas adicionales previsibles en el horizonte cercano según consenso de mercado.</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Impacto en mercados de crédito</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crédito bancario a empresas creció un 2,9% YoY en octubre 2025, en línea con los meses precedentes. La emisión de bonos corporativos avanzó un 3,2%. La demanda de crédito corporativo sigue contenida según la Bank Lending Survey del BCE, afectada por la incertidumbre derivada de la política comercial de EEUU. El coste de la deuda emitida en mercado se situó en 3,4%, cercano a su nivel de septiembre. Los bancos se muestran más reticentes a extender crédito a deudores de mayor riesgo (SMEs, high yield), lo que amplía el diferencial de condiciones financieras entre grandes corporates y medianas empresas.</w:t>
            </w:r>
          </w:p>
        </w:tc>
      </w:tr>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Perspectivas 2026</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consenso de economistas anticipa tipos estables durante 2026, con margen limitado para nuevos recortes desde los niveles actuales. La transmisión del ciclo de bajadas sigue incompleta sobre el stock de crédito existente. El Transmission Protection Instrument (TPI) permanece disponible como herramienta ante riesgos de fragmentación del mercado de deuda soberana europeo. El mayor riesgo al alza sobre tipos es una reactivación inflacionaria derivada de los aranceles EEUU sobre importaciones europeas.</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Implicación CIB</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Un entorno de tipos nominales en zona neutral (2-3,5%) es estructuralmente favorable para el negocio de DCM y refinanciación: los emisores corporativos tienen incentivo a extender duraciones y diversificar hacia mercados de capitales frente a préstamo bancario. Para CaixaBank CIB, esto representa una ventana para profundizar el negocio de DCM con corporates españoles y latinoamericanos con acceso al mercado europeo. El diferencial entre el coste bancario (3,5%) y el mercado de capitales (3,4%) sigue siendo mínimo, reforzando la competencia de los CMs sobre el crédito tradicional.</w:t>
            </w:r>
          </w:p>
        </w:tc>
      </w:tr>
    </w:tbl>
    <w:p>
      <w:pPr>
        <w:shd w:fill="2C3E5A" w:color="2C3E5A" w:val="solid"/>
        <w:spacing w:after="0" w:before="80" w:line="240" w:lineRule="auto"/>
      </w:pPr>
      <w:r>
        <w:rPr>
          <w:rFonts w:ascii="Arial" w:cs="Arial" w:eastAsia="Arial" w:hAnsi="Arial"/>
          <w:b/>
          <w:bCs/>
          <w:color w:val="FFFFFF"/>
          <w:sz w:val="16"/>
          <w:szCs w:val="16"/>
        </w:rPr>
        <w:t xml:space="preserve">⚑  Señal clave</w:t>
      </w:r>
    </w:p>
    <w:p>
      <w:pPr>
        <w:shd w:fill="2C3E5A" w:color="2C3E5A" w:val="solid"/>
        <w:spacing w:after="200" w:before="0" w:line="240" w:lineRule="auto"/>
      </w:pPr>
      <w:r>
        <w:rPr>
          <w:rFonts w:ascii="Arial" w:cs="Arial" w:eastAsia="Arial" w:hAnsi="Arial"/>
          <w:color w:val="FFFFFF"/>
          <w:sz w:val="16"/>
          <w:szCs w:val="16"/>
        </w:rPr>
        <w:t xml:space="preserve">El BCE ha completado su ciclo de bajadas y entra en una fase de pausa prolongada con tipos en zona neutral. Este entorno comprime el net interest income bancario mientras impulsa la actividad de capital markets. Para CIB, el foco debe desplazarse hacia DCM, refinanciación y productos de cobertura de tipos frente a la banca de crédito pura.</w:t>
      </w:r>
    </w:p>
    <w:p>
      <w:pPr>
        <w:shd w:fill="1B3A6B" w:color="1B3A6B" w:val="solid"/>
        <w:spacing w:after="0" w:before="300" w:line="240" w:lineRule="auto"/>
      </w:pPr>
      <w:r>
        <w:rPr>
          <w:rFonts w:ascii="Arial" w:cs="Arial" w:eastAsia="Arial" w:hAnsi="Arial"/>
          <w:b/>
          <w:bCs/>
          <w:color w:val="E87722"/>
          <w:sz w:val="20"/>
          <w:szCs w:val="20"/>
        </w:rPr>
        <w:t xml:space="preserve">KLA 3 | </w:t>
      </w:r>
      <w:r>
        <w:rPr>
          <w:rFonts w:ascii="Arial" w:cs="Arial" w:eastAsia="Arial" w:hAnsi="Arial"/>
          <w:b/>
          <w:bCs/>
          <w:color w:val="FFFFFF"/>
          <w:sz w:val="20"/>
          <w:szCs w:val="20"/>
        </w:rPr>
        <w:t xml:space="preserve">Crédito privado e infraestructura: la gran disrupción estructural: Mercado de crédito privado supera los 215 bn$ en captación anual · Infraestructura digital como nuevo activo dominante · Presión creciente sobre márgenes bancarios</w:t>
      </w:r>
    </w:p>
    <w:p>
      <w:pPr>
        <w:shd w:fill="1B3A6B" w:color="1B3A6B" w:val="solid"/>
        <w:spacing w:after="0" w:before="0" w:line="240" w:lineRule="auto"/>
      </w:pPr>
      <w:r>
        <w:rPr>
          <w:rFonts w:ascii="Arial" w:cs="Arial" w:eastAsia="Arial" w:hAnsi="Arial"/>
          <w:i/>
          <w:iCs/>
          <w:color w:val="FFFFFF"/>
          <w:sz w:val="14"/>
          <w:szCs w:val="14"/>
        </w:rPr>
        <w:t xml:space="preserve">Private credit: +215 bn$ captados en 2024, 2025 en ritmo superior · No-bank lenders: 53% del crédito privado en infraestructura · Meta-Blue Owl: 27 bn$ — el mayor deal de crédito privado de la historia</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Situación actual</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crédito privado ha consolidado su posición como clase de activo mainstream: en H1 2025 se captaron 124.000 M$ a pesar de la volatilidad de mercado, con el año completo 2025 en ritmo de superar los 215.000 M$ de 2024. Los mega-fondos superan los 10.000 M€ de cierre individual (Ares Capital Europe VI: 17.100 M€; Oaktree Opportunities Fund XII: 16.000 M$). Los vehículos de tipo evergreen superan los 500.000 M$ en AuM. En infraestructura, los prestamistas no-bancarios representaron ya el 53% del crédito privado en H1 2025. El deal Meta-Blue Owl de 27.000 M$ para el data center Hyperion en Luisiana marca un nuevo paradigma en la financiación de infraestructura digital.</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Dinámica competitiva</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competencia creciente entre gestores de crédito privado está comprimiendo márgenes y suavizando condiciones de crédito (covenants, PIK facilities). Los gestores han reducido spreads en la carrera por adjudicarse mandatos de financiación. Los ratios de cobertura de intereses se han deteriorado en algunos segmentos, con aumento del uso de PIK como señal de estrés latente. Los bancos tradicionales mantienen ventaja en grandes operaciones estructuradas y en soluciones multiproducto (crédito + cobertura + DCM), pero pierden participación en financiación directa a medias empresas.</w:t>
            </w:r>
          </w:p>
        </w:tc>
      </w:tr>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Infraestructura digital y energética</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Los activos de infraestructura digital (data centers, fibra, torres) registran los mayores múltiplos de valoración EV/EBITDA del sector. Los spreads de crédito privado BB en infraestructura se sitúan en el rango 200-300 pb sobre SOFR (yield ~7%), frente a los ~185 pb del índice US HY. Se han desplegado más de 200.000 M$ en capital a través de más de 80 fondos de infraestructura en 2025. La IA actúa como catalizador directo: la demanda de centros de datos y capacidad de cómputo está generando una ola de inversión en infraestructura eléctrica, de transmisión y digital.</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Implicación CIB</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CaixaBank CIB opera en el mercado europeo de infraestructura con sólida posición en project finance y financiación estructurada, particularmente en renovables y energía. La competencia del crédito privado es real pero se concentra en el mercado anglosajón y en ticket size &gt;500 M€. La estrategia defensiva pasa por: (i) profundizar en soluciones multiproducto (préstamo + cobertura + DCM + advisory) que los fondos de crédito privado no pueden replicar; (ii) desarrollar capacidades de origination &amp; distribution para actuar como arranger sin retener riesgo en balance; (iii) posicionarse en el segmento de infraestructura de transición energética en Iberia y Latam.</w:t>
            </w:r>
          </w:p>
        </w:tc>
      </w:tr>
    </w:tbl>
    <w:p>
      <w:pPr>
        <w:shd w:fill="2C3E5A" w:color="2C3E5A" w:val="solid"/>
        <w:spacing w:after="0" w:before="80" w:line="240" w:lineRule="auto"/>
      </w:pPr>
      <w:r>
        <w:rPr>
          <w:rFonts w:ascii="Arial" w:cs="Arial" w:eastAsia="Arial" w:hAnsi="Arial"/>
          <w:b/>
          <w:bCs/>
          <w:color w:val="FFFFFF"/>
          <w:sz w:val="16"/>
          <w:szCs w:val="16"/>
        </w:rPr>
        <w:t xml:space="preserve">⚑  Señal clave</w:t>
      </w:r>
    </w:p>
    <w:p>
      <w:pPr>
        <w:shd w:fill="2C3E5A" w:color="2C3E5A" w:val="solid"/>
        <w:spacing w:after="200" w:before="0" w:line="240" w:lineRule="auto"/>
      </w:pPr>
      <w:r>
        <w:rPr>
          <w:rFonts w:ascii="Arial" w:cs="Arial" w:eastAsia="Arial" w:hAnsi="Arial"/>
          <w:color w:val="FFFFFF"/>
          <w:sz w:val="16"/>
          <w:szCs w:val="16"/>
        </w:rPr>
        <w:t xml:space="preserve">El crédito privado ha dejado de ser un fenómeno alternativo para convertirse en competencia directa del negocio de financiación corporativa e infraestructura de la banca. La respuesta no es competir en coste sino en soluciones multiproducto y originación selectiva en mercados donde la banca relacional mantiene ventaja estructural.</w:t>
      </w:r>
    </w:p>
    <w:p>
      <w:pPr>
        <w:shd w:fill="1B3A6B" w:color="1B3A6B" w:val="solid"/>
        <w:spacing w:after="0" w:before="300" w:line="240" w:lineRule="auto"/>
      </w:pPr>
      <w:r>
        <w:rPr>
          <w:rFonts w:ascii="Arial" w:cs="Arial" w:eastAsia="Arial" w:hAnsi="Arial"/>
          <w:b/>
          <w:bCs/>
          <w:color w:val="E87722"/>
          <w:sz w:val="20"/>
          <w:szCs w:val="20"/>
        </w:rPr>
        <w:t xml:space="preserve">KLA 4 | </w:t>
      </w:r>
      <w:r>
        <w:rPr>
          <w:rFonts w:ascii="Arial" w:cs="Arial" w:eastAsia="Arial" w:hAnsi="Arial"/>
          <w:b/>
          <w:bCs/>
          <w:color w:val="FFFFFF"/>
          <w:sz w:val="20"/>
          <w:szCs w:val="20"/>
        </w:rPr>
        <w:t xml:space="preserve">Macro-riesgo: aranceles, geopolítica y volatilidad como nueva normalidad: Incertidumbre arancelaria EEUU sin precedentes · VIX regresa a máximos de 2023 · Ventana de deal-making estrecha y binaria</w:t>
      </w:r>
    </w:p>
    <w:p>
      <w:pPr>
        <w:shd w:fill="1B3A6B" w:color="1B3A6B" w:val="solid"/>
        <w:spacing w:after="0" w:before="0" w:line="240" w:lineRule="auto"/>
      </w:pPr>
      <w:r>
        <w:rPr>
          <w:rFonts w:ascii="Arial" w:cs="Arial" w:eastAsia="Arial" w:hAnsi="Arial"/>
          <w:i/>
          <w:iCs/>
          <w:color w:val="FFFFFF"/>
          <w:sz w:val="14"/>
          <w:szCs w:val="14"/>
        </w:rPr>
        <w:t xml:space="preserve">S&amp;P 500 -20% en pico de tensión arancelaria (abril 2025) · 90-day tariff pause genera +9,5% en un día — mayor subida desde 2008 · IMF revisa a la baja crecimiento global por tensiones comerciales</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Situación actual</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administración Trump implementó en abril 2025 el régimen arancelario más amplio desde los años 30, generando una corrección aguda en mercados globales: el S&amp;P 500 cayó por debajo de los 5.000 puntos, el VIX repuntó a niveles de 2023, y el Nasdaq registró caídas diarias superiores al 5%. La posterior pausa de 90 días generó la mayor subida diaria del S&amp;P 500 desde 2008 (+9,5% el 9 de abril), evidenciando una volatilidad de política económica sin precedentes. El arancel del 25% sobre importaciones de automóviles y las tensiones con China sobre semiconductores y tecnología están reconfigurado cadenas de valor globales con impacto directo sobre estrategias de M&amp;A transfronterizo.</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Impacto sobre deal-making</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61% de los inversores institucionales reconoció un impacto significativo de los aranceles en sus decisiones de inversión (KPMG). Múltiples compañías retrasaron capex e IPOs ante la incertidumbre regulatoria. La recuperación de M&amp;A en 2025 fue liderada por EEUU (+41% en valor), mientras Europa (-4%) y Asia-Pacífico (-18%) retrocedieron, en parte por la reasignación de riesgo geopolítico. Los sectores más afectados (automoción, semiconductores, consumo con supply chain global) registraron menor actividad de deal-making. El mercado secundario de private equity creció +60% en volumen, parcialmente como mecanismo de liquidez en un entorno de IPO selectivo.</w:t>
            </w:r>
          </w:p>
        </w:tc>
      </w:tr>
      <w:tr>
        <w:tc>
          <w:tcPr>
            <w:tcW w:type="dxa" w:w="180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Perspectivas y escenarios</w:t>
            </w:r>
          </w:p>
        </w:tc>
        <w:tc>
          <w:tcPr>
            <w:tcW w:type="dxa" w:w="722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IMF y el BCE advierten que la incertidumbre sobre política comercial de EEUU representa el principal riesgo bajista para el crecimiento global en 2026. El FMI proyecta un impacto negativo en el comercio global y en los flujos de inversión transfronteriza. La probabilidad de nuevas escaladas arancelarias —incluyendo potenciales aranceles sobre servicios financieros y tecnología— no es despreciable. Los mercados europeos de capitales son parcialmente beneficiarios en términos relativos si se produce una reasignación de capital desde activos EEUU hacia Europa, como se ha observado en carteras de inversores institucionales europeos en H2 2025.</w:t>
            </w:r>
          </w:p>
        </w:tc>
      </w:tr>
      <w:tr>
        <w:tc>
          <w:tcPr>
            <w:tcW w:type="dxa" w:w="1805"/>
            <w:shd w:fill="F0F5F8" w:color="F0F5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Implicación CIB</w:t>
            </w:r>
          </w:p>
        </w:tc>
        <w:tc>
          <w:tcPr>
            <w:tcW w:type="dxa" w:w="7221"/>
            <w:shd w:fill="F0F5F8" w:color="F0F5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En un entorno de alta volatilidad de política económica, el modelo de negocio CIB debe adaptarse a ventanas de oportunidad cortas y binarias: cuando los mercados se estabilizan, la actividad se concentra en semanas. Esto exige: (i) procesos de aprobación y ejecución de mandatos más ágiles; (ii) capacidad de estructuración rápida en DCM y ECM para aprovechar ventanas de mercado; (iii) refuerzo del negocio de mercados (rates, FX, commodities) como generador de ingresos en entornos de alta volatilidad; y (iv) análisis riguroso de riesgo geopolítico en la due diligence de operaciones transfronterizas.</w:t>
            </w:r>
          </w:p>
        </w:tc>
      </w:tr>
    </w:tbl>
    <w:p>
      <w:pPr>
        <w:shd w:fill="2C3E5A" w:color="2C3E5A" w:val="solid"/>
        <w:spacing w:after="0" w:before="80" w:line="240" w:lineRule="auto"/>
      </w:pPr>
      <w:r>
        <w:rPr>
          <w:rFonts w:ascii="Arial" w:cs="Arial" w:eastAsia="Arial" w:hAnsi="Arial"/>
          <w:b/>
          <w:bCs/>
          <w:color w:val="FFFFFF"/>
          <w:sz w:val="16"/>
          <w:szCs w:val="16"/>
        </w:rPr>
        <w:t xml:space="preserve">⚑  Señal clave</w:t>
      </w:r>
    </w:p>
    <w:p>
      <w:pPr>
        <w:shd w:fill="2C3E5A" w:color="2C3E5A" w:val="solid"/>
        <w:spacing w:after="200" w:before="0" w:line="240" w:lineRule="auto"/>
      </w:pPr>
      <w:r>
        <w:rPr>
          <w:rFonts w:ascii="Arial" w:cs="Arial" w:eastAsia="Arial" w:hAnsi="Arial"/>
          <w:color w:val="FFFFFF"/>
          <w:sz w:val="16"/>
          <w:szCs w:val="16"/>
        </w:rPr>
        <w:t xml:space="preserve">La volatilidad geopolítica y arancelaria ha pasado de ser un riesgo de cola a una variable estructural del negocio IB. Los bancos con mayor agilidad en ejecución, capacidades de mercados (sales &amp; trading) y exposición a Europa —más aislada de la política arancelaria americana— tienen ventaja relativa en 2026.</w:t>
      </w:r>
    </w:p>
    <w:p>
      <w:pPr>
        <w:shd w:fill="1B3A6B" w:color="1B3A6B" w:val="solid"/>
        <w:spacing w:after="0" w:before="400" w:line="240" w:lineRule="auto"/>
      </w:pPr>
      <w:r>
        <w:rPr>
          <w:rFonts w:ascii="Arial" w:cs="Arial" w:eastAsia="Arial" w:hAnsi="Arial"/>
          <w:b/>
          <w:bCs/>
          <w:color w:val="FFFFFF"/>
          <w:sz w:val="20"/>
          <w:szCs w:val="20"/>
        </w:rPr>
        <w:t xml:space="preserve">SÍNTESIS EJECUTIVA</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gridCol w:w="100"/>
      </w:tblGrid>
      <w:tr>
        <w:tc>
          <w:tcPr>
            <w:tcW w:type="dxa" w:w="542"/>
            <w:shd w:fill="1B3A6B" w:color="1B3A6B"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1</w:t>
            </w:r>
          </w:p>
        </w:tc>
        <w:tc>
          <w:tcPr>
            <w:tcW w:type="dxa" w:w="2527"/>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M&amp;A y ECM: recuperación real, distribución asimétrica</w:t>
            </w:r>
          </w:p>
        </w:tc>
        <w:tc>
          <w:tcPr>
            <w:tcW w:type="dxa" w:w="5957"/>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2025 marca el mayor M&amp;A global desde el récord histórico, pero la recuperación es anglocéntrica y concentrada en mega-deals. Europa y Asia-Pacífico quedan rezagadas; el mid-market europeo es la oportunidad diferencial para CIB.</w:t>
            </w:r>
          </w:p>
        </w:tc>
      </w:tr>
      <w:tr>
        <w:tc>
          <w:tcPr>
            <w:tcW w:type="dxa" w:w="542"/>
            <w:shd w:fill="1B3A6B" w:color="1B3A6B"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2</w:t>
            </w:r>
          </w:p>
        </w:tc>
        <w:tc>
          <w:tcPr>
            <w:tcW w:type="dxa" w:w="2527"/>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BCE en pausa neutral: el ciclo de tipos ha tocado suelo</w:t>
            </w:r>
          </w:p>
        </w:tc>
        <w:tc>
          <w:tcPr>
            <w:tcW w:type="dxa" w:w="5957"/>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Con el depósito al 2,00% y la inflación convergiendo al 2%, el BCE ha completado su ciclo de bajadas. El entorno es favorable para DCM y capital markets, pero el crédito corporativo bancario sigue creciendo por debajo de potencial.</w:t>
            </w:r>
          </w:p>
        </w:tc>
      </w:tr>
      <w:tr>
        <w:tc>
          <w:tcPr>
            <w:tcW w:type="dxa" w:w="542"/>
            <w:shd w:fill="1B3A6B" w:color="1B3A6B"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3</w:t>
            </w:r>
          </w:p>
        </w:tc>
        <w:tc>
          <w:tcPr>
            <w:tcW w:type="dxa" w:w="2527"/>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Crédito privado: competidor estructural, no coyuntural</w:t>
            </w:r>
          </w:p>
        </w:tc>
        <w:tc>
          <w:tcPr>
            <w:tcW w:type="dxa" w:w="5957"/>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Con más de 215.000 M$ captados en 2024 y el 53% del crédito de infraestructura ya en manos no-bancarias, el crédito privado ha dejado de ser alternativo. La respuesta bancaria exige soluciones multiproducto y origination selectiva.</w:t>
            </w:r>
          </w:p>
        </w:tc>
      </w:tr>
      <w:tr>
        <w:tc>
          <w:tcPr>
            <w:tcW w:type="dxa" w:w="542"/>
            <w:shd w:fill="1B3A6B" w:color="1B3A6B"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4</w:t>
            </w:r>
          </w:p>
        </w:tc>
        <w:tc>
          <w:tcPr>
            <w:tcW w:type="dxa" w:w="2527"/>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Volatilidad geopolítica: nueva variable permanente</w:t>
            </w:r>
          </w:p>
        </w:tc>
        <w:tc>
          <w:tcPr>
            <w:tcW w:type="dxa" w:w="5957"/>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Los aranceles de EEUU y las tensiones comerciales han generado la mayor volatilidad de política económica desde 2008. La agilidad ejecutora y la fortaleza en mercados (rates, FX) son diferenciadores competitivos clave en este entorno.</w:t>
            </w:r>
          </w:p>
        </w:tc>
      </w:tr>
    </w:tbl>
    <w:p>
      <w:pPr>
        <w:spacing w:after="40" w:before="300" w:line="240" w:lineRule="auto"/>
      </w:pPr>
      <w:r>
        <w:rPr>
          <w:rFonts w:ascii="Arial" w:cs="Arial" w:eastAsia="Arial" w:hAnsi="Arial"/>
          <w:i/>
          <w:iCs/>
          <w:color w:val="666666"/>
          <w:sz w:val="14"/>
          <w:szCs w:val="14"/>
        </w:rPr>
        <w:t xml:space="preserve">Fuentes: Bain &amp; Company — Global M&amp;A Annual Review 2025 · JPMorgan — 2025 Investment Banking Recap &amp; 2026 Outlook · Goldman Sachs — 2026 Global M&amp;A Outlook · Goldman Sachs — 2025 M&amp;A Outlook · McKinsey — The State of Corporate and Investment Banking 2026 · BCG — Capital Markets &amp; Investment Banking Update 2024/2025 · Dealogic / LSEG — Global Markets Rankings FY2025 · IMF — Global Financial Stability Report, April 2025 · IMF — Geopolitical Risks: Implications for Asset Prices and Financial Stability (GFSR Ch.2) · ECB — Economic Bulletin Issues 2, 7, 8 (2025) · ECB — Bank Lending Survey 2025 · ECB — Monetary Policy Decisions 2025 · PwC — How AI is Reshaping Banking 2025 · Deloitte — Generative AI in Investment Banking · Alter Domus — 2025 Private Markets Year-End Review · HarbourVest — 10 Deals that Defined Private Markets in 2025 · Ares Management — Private Credit Outlook 2026 · BlackRock — Today's Private Credit Opportunity · VanEck — Why Everyone is Talking About Private Credit in 2025 · NEPC — Quarterly Private Markets Report Q3 2025 · S&amp;P Global — Top Geopolitical Risks of 2025 · World Economic Forum — Why Trade Tensions are a Storm Cloud over Financial Markets · CFA Institute Enterprising Investor — How Tariffs and Geopolitics Are Shaping the 2025 Global Economic Outlook · Raymond James — M&amp;A Quarterly Q3 2025 · SS&amp;C Intralinks — 2025 Global M&amp;A Dealmakers Sentiment Report · Evalueserve — Investment Banking Q1 2025 Update · Morgan Lewis — US International Trade and Investment: Key Shifts in 2025</w:t>
      </w:r>
    </w:p>
    <w:p>
      <w:pPr>
        <w:spacing w:after="80" w:before="0" w:line="240" w:lineRule="auto"/>
      </w:pPr>
      <w:r>
        <w:rPr>
          <w:rFonts w:ascii="Arial" w:cs="Arial" w:eastAsia="Arial" w:hAnsi="Arial"/>
          <w:i/>
          <w:iCs/>
          <w:color w:val="666666"/>
          <w:sz w:val="14"/>
          <w:szCs w:val="14"/>
        </w:rPr>
        <w:t xml:space="preserve">Documento de uso interno. Elaborado por el área de Corporate &amp; Investment Banking · 1Q 2025 – 4Q 2025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2026-03-02T21:26:33.513Z</dcterms:created>
  <dcterms:modified xsi:type="dcterms:W3CDTF">2026-03-02T21:26:33.513Z</dcterms:modified>
</cp:coreProperties>
</file>

<file path=docProps/custom.xml><?xml version="1.0" encoding="utf-8"?>
<Properties xmlns="http://schemas.openxmlformats.org/officeDocument/2006/custom-properties" xmlns:vt="http://schemas.openxmlformats.org/officeDocument/2006/docPropsVTypes"/>
</file>