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Encabezamiento 2"/>
      </w:pPr>
      <w:r>
        <w:rPr>
          <w:rStyle w:val="Ninguno"/>
          <w:outline w:val="0"/>
          <w:color w:val="1f2a4d"/>
          <w:u w:color="1f2a4d"/>
          <w:rtl w:val="0"/>
          <w14:textFill>
            <w14:solidFill>
              <w14:srgbClr w14:val="1F2A4D"/>
            </w14:solidFill>
          </w14:textFill>
        </w:rPr>
        <w:t>1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 xml:space="preserve">. 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>Cualquier usuario puede aprobar evidencias de cualquier marca</w:t>
      </w:r>
    </w:p>
    <w:p>
      <w:pPr>
        <w:pStyle w:val="Encabezamiento 2"/>
      </w:pP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CR</w:t>
      </w: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Í</w:t>
      </w: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TICO</w:t>
      </w:r>
      <w:r>
        <w:rPr>
          <w:rStyle w:val="Ninguno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·   </w:t>
      </w:r>
      <w:r>
        <w:rPr>
          <w:rStyle w:val="Ninguno"/>
          <w:rFonts w:ascii="Consolas" w:cs="Consolas" w:hAnsi="Consolas" w:eastAsia="Consolas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apps/web/app/(ops)/actions.ts:23, 91, 135</w:t>
      </w:r>
    </w:p>
    <w:p>
      <w:pPr>
        <w:pStyle w:val="Encabezamiento 2"/>
        <w:rPr>
          <w:b w:val="0"/>
          <w:bCs w:val="0"/>
        </w:rPr>
      </w:pP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Las tres funciones que deciden el destino de una evidencia 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—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approveEvidence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rejectEvidence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requestClarification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— 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no comprueban ning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rol. Usan el cliente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service_role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(que se salta la seguridad de la base de datos) y solo leen la sesi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para rellenar el campo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reviewer_id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, aceptando incluso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null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Encabezamiento 2"/>
        <w:rPr>
          <w:b w:val="0"/>
          <w:bCs w:val="0"/>
        </w:rPr>
      </w:pP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El control de acceso est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en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(ops)/layout.tsx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, que protege 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 p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gina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, no el endpoint.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En el panel de marca,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requireBrandAdmin()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se aplica en las 21 acciones. El agujero est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exclusivamente en Ops.</w:t>
      </w:r>
    </w:p>
    <w:p>
      <w:pPr>
        <w:pStyle w:val="Encabezamiento 2"/>
        <w:rPr>
          <w:b w:val="0"/>
          <w:bCs w:val="0"/>
        </w:rPr>
      </w:pP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Consecuencia: un empleado cualquiera aprueba sus propias evidencias y las de otras empresas, dispara el avance de cadenas ajenas y contamina los KPIs de impacto de terceros.</w:t>
      </w:r>
    </w:p>
    <w:p>
      <w:pPr>
        <w:pStyle w:val="Encabezamiento 2"/>
      </w:pPr>
    </w:p>
    <w:p>
      <w:pPr>
        <w:pStyle w:val="Encabezamiento 2"/>
      </w:pP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>2. Un usuario puede auto-aprobarse las evidencias por base de datos</w:t>
      </w:r>
    </w:p>
    <w:p>
      <w:pPr>
        <w:pStyle w:val="Encabezamiento 2"/>
      </w:pP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CR</w:t>
      </w: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Í</w:t>
      </w: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TICO</w:t>
      </w:r>
      <w:r>
        <w:rPr>
          <w:rStyle w:val="Ninguno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·   </w:t>
      </w:r>
      <w:r>
        <w:rPr>
          <w:rStyle w:val="Ninguno"/>
          <w:rFonts w:ascii="Consolas" w:cs="Consolas" w:hAnsi="Consolas" w:eastAsia="Consolas"/>
          <w:outline w:val="0"/>
          <w:color w:val="444444"/>
          <w:sz w:val="18"/>
          <w:szCs w:val="18"/>
          <w:u w:color="444444"/>
          <w:rtl w:val="0"/>
          <w:lang w:val="pt-PT"/>
          <w14:textFill>
            <w14:solidFill>
              <w14:srgbClr w14:val="444444"/>
            </w14:solidFill>
          </w14:textFill>
        </w:rPr>
        <w:t>20260526000100_rls.sql:215-236</w:t>
      </w:r>
      <w:r>
        <w:rPr>
          <w:rStyle w:val="Ninguno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+  </w:t>
      </w:r>
      <w:r>
        <w:rPr>
          <w:rStyle w:val="Ninguno"/>
          <w:rFonts w:ascii="Consolas" w:cs="Consolas" w:hAnsi="Consolas" w:eastAsia="Consolas"/>
          <w:outline w:val="0"/>
          <w:color w:val="444444"/>
          <w:sz w:val="18"/>
          <w:szCs w:val="18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20260526000000_schema.sql:396-422</w:t>
      </w:r>
    </w:p>
    <w:p>
      <w:pPr>
        <w:pStyle w:val="Encabezamiento 2"/>
        <w:rPr>
          <w:b w:val="0"/>
          <w:bCs w:val="0"/>
        </w:rPr>
      </w:pP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Las pol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ticas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execution_self_update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y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evidence_self_update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autorizan al 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propietario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de la fila a modificarla (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user_id = auth.uid()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), y el guard de la m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quina de estados valida que la transici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sea 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legal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, pero no 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qui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la hace: permite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 xml:space="preserve">IN_VALIDATION </w:t>
      </w:r>
      <w:r>
        <w:rPr>
          <w:rStyle w:val="Ninguno"/>
          <w:rFonts w:ascii="Consolas" w:cs="Consolas" w:hAnsi="Consolas" w:eastAsia="Consolas" w:hint="default"/>
          <w:b w:val="0"/>
          <w:bCs w:val="0"/>
          <w:outline w:val="0"/>
          <w:color w:val="444444"/>
          <w:sz w:val="18"/>
          <w:szCs w:val="18"/>
          <w:u w:color="444444"/>
          <w:rtl w:val="0"/>
          <w14:textFill>
            <w14:solidFill>
              <w14:srgbClr w14:val="444444"/>
            </w14:solidFill>
          </w14:textFill>
        </w:rPr>
        <w:t xml:space="preserve">→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14:textFill>
            <w14:solidFill>
              <w14:srgbClr w14:val="444444"/>
            </w14:solidFill>
          </w14:textFill>
        </w:rPr>
        <w:t>APPROVED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sin comprobar rol.</w:t>
      </w:r>
    </w:p>
    <w:p>
      <w:pPr>
        <w:pStyle w:val="Encabezamiento 2"/>
        <w:rPr>
          <w:rStyle w:val="Ninguno"/>
          <w:b w:val="0"/>
          <w:b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La clave an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nima es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NEXT_PUBLIC_SUPABASE_ANON_KEY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—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blica en el navegador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—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as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que el endpoint PostgREST es alcanzable sin pasar por la aplicaci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n.</w:t>
      </w:r>
    </w:p>
    <w:p>
      <w:pPr>
        <w:pStyle w:val="Encabezamiento 2"/>
        <w:rPr>
          <w:rStyle w:val="Ninguno"/>
          <w:b w:val="0"/>
          <w:b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Consecuencia: en una plataforma cuyo producto es el impacto verificado para reporting ESRS, cualquier participante puede fabricarse impacto certificado.</w:t>
      </w:r>
    </w:p>
    <w:p>
      <w:pPr>
        <w:pStyle w:val="Encabezamiento 2"/>
      </w:pPr>
    </w:p>
    <w:p>
      <w:pPr>
        <w:pStyle w:val="Encabezamiento 2"/>
      </w:pPr>
      <w:r>
        <w:rPr>
          <w:rStyle w:val="Ninguno"/>
          <w:outline w:val="0"/>
          <w:color w:val="1f2a4d"/>
          <w:u w:color="1f2a4d"/>
          <w:rtl w:val="0"/>
          <w14:textFill>
            <w14:solidFill>
              <w14:srgbClr w14:val="1F2A4D"/>
            </w14:solidFill>
          </w14:textFill>
        </w:rPr>
        <w:t>3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>.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 xml:space="preserve">  Los KPIs devuelven cifras falsas sin avisar</w:t>
      </w:r>
    </w:p>
    <w:p>
      <w:pPr>
        <w:pStyle w:val="Encabezamiento 2"/>
      </w:pP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CR</w:t>
      </w: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Í</w:t>
      </w: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TICO</w:t>
      </w:r>
      <w:r>
        <w:rPr>
          <w:rStyle w:val="Ninguno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·   </w:t>
      </w:r>
      <w:r>
        <w:rPr>
          <w:rStyle w:val="Ninguno"/>
          <w:rFonts w:ascii="Consolas" w:cs="Consolas" w:hAnsi="Consolas" w:eastAsia="Consolas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packages/lib/src/kpi/aggregate.ts:142-145</w:t>
      </w:r>
      <w:r>
        <w:rPr>
          <w:rStyle w:val="Ninguno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+  </w:t>
      </w:r>
      <w:r>
        <w:rPr>
          <w:rStyle w:val="Ninguno"/>
          <w:rFonts w:ascii="Consolas" w:cs="Consolas" w:hAnsi="Consolas" w:eastAsia="Consolas"/>
          <w:outline w:val="0"/>
          <w:color w:val="444444"/>
          <w:sz w:val="18"/>
          <w:szCs w:val="18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supabase/config.toml:16</w:t>
      </w:r>
    </w:p>
    <w:p>
      <w:pPr>
        <w:pStyle w:val="Encabezamiento 2"/>
        <w:rPr>
          <w:b w:val="0"/>
          <w:bCs w:val="0"/>
        </w:rPr>
      </w:pP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La consulta que alimenta todo el reporting de impacto pide todas las evidencias aprobadas de todas las marcas, sin filtro de marca ni de campa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a, y filtra por campa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despu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s en JavaScript. Y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config.toml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fija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max_rows = 1000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. No hay ni un solo </w:t>
      </w:r>
      <w:r>
        <w:rPr>
          <w:rStyle w:val="Ninguno"/>
          <w:rFonts w:ascii="Consolas" w:cs="Consolas" w:hAnsi="Consolas" w:eastAsia="Consolas"/>
          <w:b w:val="0"/>
          <w:bCs w:val="0"/>
          <w:outline w:val="0"/>
          <w:color w:val="444444"/>
          <w:sz w:val="18"/>
          <w:szCs w:val="18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>.range()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en el proyecto que controle el truncamiento.</w:t>
      </w:r>
    </w:p>
    <w:p>
      <w:pPr>
        <w:pStyle w:val="Encabezamiento 2"/>
        <w:rPr>
          <w:rStyle w:val="Ninguno"/>
          <w:b w:val="0"/>
          <w:b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Consecuencia: a partir de 1.000 evidencias aprobadas en el conjunto de la plataforma, PostgREST trunca la respuesta y los KPIs empiezan a devolver cifras por debajo de la realidad 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(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cero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)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sin error, sin log, sin ninguna se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b w:val="0"/>
          <w:bCs w:val="0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al.</w:t>
      </w:r>
    </w:p>
    <w:p>
      <w:pPr>
        <w:pStyle w:val="Encabezamiento 2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Encabezamiento 2"/>
      </w:pPr>
      <w:r>
        <w:rPr>
          <w:rStyle w:val="Ninguno"/>
          <w:outline w:val="0"/>
          <w:color w:val="1f2a4d"/>
          <w:u w:color="1f2a4d"/>
          <w:rtl w:val="0"/>
          <w14:textFill>
            <w14:solidFill>
              <w14:srgbClr w14:val="1F2A4D"/>
            </w14:solidFill>
          </w14:textFill>
        </w:rPr>
        <w:t>4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>.</w:t>
      </w:r>
      <w:r>
        <w:rPr>
          <w:rStyle w:val="Ninguno"/>
          <w:outline w:val="0"/>
          <w:color w:val="1f2a4d"/>
          <w:u w:color="1f2a4d"/>
          <w:rtl w:val="0"/>
          <w14:textFill>
            <w14:solidFill>
              <w14:srgbClr w14:val="1F2A4D"/>
            </w14:solidFill>
          </w14:textFill>
        </w:rPr>
        <w:t xml:space="preserve">  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>F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>uga entre marcas y de datos corruptos</w:t>
      </w:r>
    </w:p>
    <w:p>
      <w:pPr>
        <w:pStyle w:val="Encabezamiento 2"/>
      </w:pP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CR</w:t>
      </w: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Í</w:t>
      </w:r>
      <w:r>
        <w:rPr>
          <w:rStyle w:val="Ninguno"/>
          <w:outline w:val="0"/>
          <w:color w:val="b3261e"/>
          <w:u w:color="b3261e"/>
          <w:rtl w:val="0"/>
          <w14:textFill>
            <w14:solidFill>
              <w14:srgbClr w14:val="B3261E"/>
            </w14:solidFill>
          </w14:textFill>
        </w:rPr>
        <w:t>TICO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50"/>
        <w:gridCol w:w="2600"/>
        <w:gridCol w:w="3710"/>
      </w:tblGrid>
      <w:tr>
        <w:tblPrEx>
          <w:shd w:val="clear" w:color="auto" w:fill="4f81bd"/>
        </w:tblPrEx>
        <w:trPr>
          <w:trHeight w:val="217" w:hRule="atLeast"/>
          <w:tblHeader/>
        </w:trPr>
        <w:tc>
          <w:tcPr>
            <w:tcW w:type="dxa" w:w="305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e8ea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b w:val="1"/>
                <w:bCs w:val="1"/>
                <w:outline w:val="0"/>
                <w:color w:val="1f2a4d"/>
                <w:sz w:val="20"/>
                <w:szCs w:val="20"/>
                <w:u w:color="1f2a4d"/>
                <w:shd w:val="nil" w:color="auto" w:fill="auto"/>
                <w:rtl w:val="0"/>
                <w14:textFill>
                  <w14:solidFill>
                    <w14:srgbClr w14:val="1F2A4D"/>
                  </w14:solidFill>
                </w14:textFill>
              </w:rPr>
              <w:t>V</w:t>
            </w:r>
            <w:r>
              <w:rPr>
                <w:rStyle w:val="Ninguno"/>
                <w:rFonts w:ascii="Times New Roman" w:hAnsi="Times New Roman" w:hint="default"/>
                <w:b w:val="1"/>
                <w:bCs w:val="1"/>
                <w:outline w:val="0"/>
                <w:color w:val="1f2a4d"/>
                <w:sz w:val="20"/>
                <w:szCs w:val="20"/>
                <w:u w:color="1f2a4d"/>
                <w:shd w:val="nil" w:color="auto" w:fill="auto"/>
                <w:rtl w:val="0"/>
                <w14:textFill>
                  <w14:solidFill>
                    <w14:srgbClr w14:val="1F2A4D"/>
                  </w14:solidFill>
                </w14:textFill>
              </w:rPr>
              <w:t>í</w:t>
            </w:r>
            <w:r>
              <w:rPr>
                <w:rStyle w:val="Ninguno"/>
                <w:rFonts w:ascii="Times New Roman" w:hAnsi="Times New Roman"/>
                <w:b w:val="1"/>
                <w:bCs w:val="1"/>
                <w:outline w:val="0"/>
                <w:color w:val="1f2a4d"/>
                <w:sz w:val="20"/>
                <w:szCs w:val="20"/>
                <w:u w:color="1f2a4d"/>
                <w:shd w:val="nil" w:color="auto" w:fill="auto"/>
                <w:rtl w:val="0"/>
                <w14:textFill>
                  <w14:solidFill>
                    <w14:srgbClr w14:val="1F2A4D"/>
                  </w14:solidFill>
                </w14:textFill>
              </w:rPr>
              <w:t>a</w:t>
            </w:r>
          </w:p>
        </w:tc>
        <w:tc>
          <w:tcPr>
            <w:tcW w:type="dxa" w:w="260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e8ea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b w:val="1"/>
                <w:bCs w:val="1"/>
                <w:outline w:val="0"/>
                <w:color w:val="1f2a4d"/>
                <w:sz w:val="20"/>
                <w:szCs w:val="20"/>
                <w:u w:color="1f2a4d"/>
                <w:shd w:val="nil" w:color="auto" w:fill="auto"/>
                <w:rtl w:val="0"/>
                <w:lang w:val="de-DE"/>
                <w14:textFill>
                  <w14:solidFill>
                    <w14:srgbClr w14:val="1F2A4D"/>
                  </w14:solidFill>
                </w14:textFill>
              </w:rPr>
              <w:t>Fichero</w:t>
            </w:r>
          </w:p>
        </w:tc>
        <w:tc>
          <w:tcPr>
            <w:tcW w:type="dxa" w:w="371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e8ea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b w:val="1"/>
                <w:bCs w:val="1"/>
                <w:outline w:val="0"/>
                <w:color w:val="1f2a4d"/>
                <w:sz w:val="20"/>
                <w:szCs w:val="20"/>
                <w:u w:color="1f2a4d"/>
                <w:shd w:val="nil" w:color="auto" w:fill="auto"/>
                <w:rtl w:val="0"/>
                <w:lang w:val="es-ES_tradnl"/>
                <w14:textFill>
                  <w14:solidFill>
                    <w14:srgbClr w14:val="1F2A4D"/>
                  </w14:solidFill>
                </w14:textFill>
              </w:rPr>
              <w:t>Comentarios</w:t>
            </w:r>
          </w:p>
        </w:tc>
      </w:tr>
      <w:tr>
        <w:tblPrEx>
          <w:shd w:val="clear" w:color="auto" w:fill="ced7e7"/>
        </w:tblPrEx>
        <w:trPr>
          <w:trHeight w:val="741" w:hRule="atLeast"/>
        </w:trPr>
        <w:tc>
          <w:tcPr>
            <w:tcW w:type="dxa" w:w="305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s-ES_tradnl"/>
              </w:rPr>
              <w:t>submitEvidence no comprueba inscripci</w:t>
            </w:r>
            <w:r>
              <w:rPr>
                <w:rStyle w:val="Ninguno"/>
                <w:rFonts w:ascii="Times New Roman" w:hAnsi="Times New Roman" w:hint="default"/>
                <w:sz w:val="20"/>
                <w:szCs w:val="20"/>
                <w:u w:color="00000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s-ES_tradnl"/>
              </w:rPr>
              <w:t xml:space="preserve">n, marca ni </w:t>
            </w:r>
            <w:r>
              <w:rPr>
                <w:rStyle w:val="Ninguno"/>
                <w:rFonts w:ascii="Times New Roman" w:hAnsi="Times New Roman" w:hint="default"/>
                <w:sz w:val="20"/>
                <w:szCs w:val="20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inguno"/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it-IT"/>
              </w:rPr>
              <w:t>mbito</w:t>
            </w:r>
          </w:p>
        </w:tc>
        <w:tc>
          <w:tcPr>
            <w:tcW w:type="dxa" w:w="260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Consolas" w:cs="Consolas" w:hAnsi="Consolas" w:eastAsia="Consolas"/>
                <w:outline w:val="0"/>
                <w:color w:val="444444"/>
                <w:sz w:val="18"/>
                <w:szCs w:val="18"/>
                <w:u w:color="444444"/>
                <w:shd w:val="nil" w:color="auto" w:fill="auto"/>
                <w:rtl w:val="0"/>
                <w:lang w:val="en-US"/>
                <w14:textFill>
                  <w14:solidFill>
                    <w14:srgbClr w14:val="444444"/>
                  </w14:solidFill>
                </w14:textFill>
              </w:rPr>
              <w:t>(app)/actions.ts:118-143</w:t>
            </w:r>
          </w:p>
        </w:tc>
        <w:tc>
          <w:tcPr>
            <w:tcW w:type="dxa" w:w="371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Inyectar evidencias en campa</w:t>
            </w:r>
            <w:r>
              <w:rPr>
                <w:rStyle w:val="Ninguno"/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ñ</w:t>
            </w: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 xml:space="preserve">as de otra empresa; un no-empleado escapa de su </w:t>
            </w:r>
            <w:r>
              <w:rPr>
                <w:rStyle w:val="Ninguno"/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á</w:t>
            </w: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mbito</w:t>
            </w:r>
          </w:p>
        </w:tc>
      </w:tr>
      <w:tr>
        <w:tblPrEx>
          <w:shd w:val="clear" w:color="auto" w:fill="ced7e7"/>
        </w:tblPrEx>
        <w:trPr>
          <w:trHeight w:val="741" w:hRule="atLeast"/>
        </w:trPr>
        <w:tc>
          <w:tcPr>
            <w:tcW w:type="dxa" w:w="305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</w:rPr>
              <w:t>ensureMembership resucita membres</w:t>
            </w:r>
            <w:r>
              <w:rPr>
                <w:rStyle w:val="Ninguno"/>
                <w:rFonts w:ascii="Times New Roman" w:hAnsi="Times New Roman" w:hint="default"/>
                <w:sz w:val="20"/>
                <w:szCs w:val="20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inguno"/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de-DE"/>
              </w:rPr>
              <w:t>as REVOKED</w:t>
            </w:r>
          </w:p>
        </w:tc>
        <w:tc>
          <w:tcPr>
            <w:tcW w:type="dxa" w:w="260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Consolas" w:cs="Consolas" w:hAnsi="Consolas" w:eastAsia="Consolas"/>
                <w:outline w:val="0"/>
                <w:color w:val="444444"/>
                <w:sz w:val="18"/>
                <w:szCs w:val="18"/>
                <w:u w:color="444444"/>
                <w:shd w:val="nil" w:color="auto" w:fill="auto"/>
                <w:rtl w:val="0"/>
                <w:lang w:val="en-US"/>
                <w14:textFill>
                  <w14:solidFill>
                    <w14:srgbClr w14:val="444444"/>
                  </w14:solidFill>
                </w14:textFill>
              </w:rPr>
              <w:t>c/actions.ts:27-48</w:t>
            </w:r>
          </w:p>
        </w:tc>
        <w:tc>
          <w:tcPr>
            <w:tcW w:type="dxa" w:w="371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Un usuario bloqueado recupera acceso; quien se dio de baja por RGPD vuelve a ser miembro activo</w:t>
            </w:r>
          </w:p>
        </w:tc>
      </w:tr>
      <w:tr>
        <w:tblPrEx>
          <w:shd w:val="clear" w:color="auto" w:fill="ced7e7"/>
        </w:tblPrEx>
        <w:trPr>
          <w:trHeight w:val="741" w:hRule="atLeast"/>
        </w:trPr>
        <w:tc>
          <w:tcPr>
            <w:tcW w:type="dxa" w:w="305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s-ES_tradnl"/>
              </w:rPr>
              <w:t>kpis.csv no comprueba la propiedad de la campa</w:t>
            </w:r>
            <w:r>
              <w:rPr>
                <w:rStyle w:val="Ninguno"/>
                <w:rFonts w:ascii="Times New Roman" w:hAnsi="Times New Roman" w:hint="default"/>
                <w:sz w:val="20"/>
                <w:szCs w:val="20"/>
                <w:u w:color="000000"/>
                <w:shd w:val="nil" w:color="auto" w:fill="auto"/>
                <w:rtl w:val="0"/>
                <w:lang w:val="es-ES_tradnl"/>
              </w:rPr>
              <w:t>ñ</w:t>
            </w:r>
            <w:r>
              <w:rPr>
                <w:rStyle w:val="Ninguno"/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</w:rPr>
              <w:t>a</w:t>
            </w:r>
          </w:p>
        </w:tc>
        <w:tc>
          <w:tcPr>
            <w:tcW w:type="dxa" w:w="260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Consolas" w:cs="Consolas" w:hAnsi="Consolas" w:eastAsia="Consolas"/>
                <w:outline w:val="0"/>
                <w:color w:val="444444"/>
                <w:sz w:val="18"/>
                <w:szCs w:val="18"/>
                <w:u w:color="444444"/>
                <w:shd w:val="nil" w:color="auto" w:fill="auto"/>
                <w:rtl w:val="0"/>
                <w:lang w:val="it-IT"/>
                <w14:textFill>
                  <w14:solidFill>
                    <w14:srgbClr w14:val="444444"/>
                  </w14:solidFill>
                </w14:textFill>
              </w:rPr>
              <w:t>export/kpis.csv/route.ts:12-17</w:t>
            </w:r>
          </w:p>
        </w:tc>
        <w:tc>
          <w:tcPr>
            <w:tcW w:type="dxa" w:w="371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Un admin descarga los KPIs de una campa</w:t>
            </w:r>
            <w:r>
              <w:rPr>
                <w:rStyle w:val="Ninguno"/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ñ</w:t>
            </w: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a de otra marca (impacto.csv s</w:t>
            </w:r>
            <w:r>
              <w:rPr>
                <w:rStyle w:val="Ninguno"/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 xml:space="preserve">í </w:t>
            </w: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lo comprueba)</w:t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305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s-ES_tradnl"/>
              </w:rPr>
              <w:t>Cola de Ops sin filtro de marca + BRAND_ADMIN en OPS_ROLES</w:t>
            </w:r>
          </w:p>
        </w:tc>
        <w:tc>
          <w:tcPr>
            <w:tcW w:type="dxa" w:w="260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Consolas" w:cs="Consolas" w:hAnsi="Consolas" w:eastAsia="Consolas"/>
                <w:outline w:val="0"/>
                <w:color w:val="444444"/>
                <w:sz w:val="18"/>
                <w:szCs w:val="18"/>
                <w:u w:color="444444"/>
                <w:shd w:val="nil" w:color="auto" w:fill="auto"/>
                <w:rtl w:val="0"/>
                <w:lang w:val="fr-FR"/>
                <w14:textFill>
                  <w14:solidFill>
                    <w14:srgbClr w14:val="444444"/>
                  </w14:solidFill>
                </w14:textFill>
              </w:rPr>
              <w:t>ops/queue/page.tsx:24-30</w:t>
            </w:r>
          </w:p>
        </w:tc>
        <w:tc>
          <w:tcPr>
            <w:tcW w:type="dxa" w:w="371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Cualquier admin ve nombres, emails y fotos de los voluntarios de las dem</w:t>
            </w:r>
            <w:r>
              <w:rPr>
                <w:rStyle w:val="Ninguno"/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á</w:t>
            </w: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s marcas</w:t>
            </w:r>
          </w:p>
        </w:tc>
      </w:tr>
      <w:tr>
        <w:tblPrEx>
          <w:shd w:val="clear" w:color="auto" w:fill="ced7e7"/>
        </w:tblPrEx>
        <w:trPr>
          <w:trHeight w:val="479" w:hRule="atLeast"/>
        </w:trPr>
        <w:tc>
          <w:tcPr>
            <w:tcW w:type="dxa" w:w="305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sz w:val="20"/>
                <w:szCs w:val="20"/>
                <w:u w:color="000000"/>
                <w:shd w:val="nil" w:color="auto" w:fill="auto"/>
                <w:rtl w:val="0"/>
                <w:lang w:val="en-US"/>
              </w:rPr>
              <w:t>audit_log acepta INSERT con with check (true) + permiso a anon</w:t>
            </w:r>
          </w:p>
        </w:tc>
        <w:tc>
          <w:tcPr>
            <w:tcW w:type="dxa" w:w="260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Consolas" w:cs="Consolas" w:hAnsi="Consolas" w:eastAsia="Consolas"/>
                <w:outline w:val="0"/>
                <w:color w:val="444444"/>
                <w:sz w:val="18"/>
                <w:szCs w:val="18"/>
                <w:u w:color="444444"/>
                <w:shd w:val="nil" w:color="auto" w:fill="auto"/>
                <w:rtl w:val="0"/>
                <w:lang w:val="pt-PT"/>
                <w14:textFill>
                  <w14:solidFill>
                    <w14:srgbClr w14:val="444444"/>
                  </w14:solidFill>
                </w14:textFill>
              </w:rPr>
              <w:t>rls.sql:293</w:t>
            </w:r>
          </w:p>
        </w:tc>
        <w:tc>
          <w:tcPr>
            <w:tcW w:type="dxa" w:w="3710"/>
            <w:tcBorders>
              <w:top w:val="single" w:color="d5d8e2" w:sz="2" w:space="0" w:shadow="0" w:frame="0"/>
              <w:left w:val="single" w:color="d5d8e2" w:sz="2" w:space="0" w:shadow="0" w:frame="0"/>
              <w:bottom w:val="single" w:color="d5d8e2" w:sz="2" w:space="0" w:shadow="0" w:frame="0"/>
              <w:right w:val="single" w:color="d5d8e2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or omisión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El registro de auditor</w:t>
            </w:r>
            <w:r>
              <w:rPr>
                <w:rStyle w:val="Ninguno"/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14:textFill>
                  <w14:solidFill>
                    <w14:srgbClr w14:val="333333"/>
                  </w14:solidFill>
                </w14:textFill>
              </w:rPr>
              <w:t>í</w:t>
            </w:r>
            <w:r>
              <w:rPr>
                <w:rStyle w:val="Ninguno"/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s-ES_tradnl"/>
                <w14:textFill>
                  <w14:solidFill>
                    <w14:srgbClr w14:val="333333"/>
                  </w14:solidFill>
                </w14:textFill>
              </w:rPr>
              <w:t>a es falsificable por cualquiera, incluso sin autenticarse</w:t>
            </w:r>
          </w:p>
        </w:tc>
      </w:tr>
    </w:tbl>
    <w:p>
      <w:pPr>
        <w:pStyle w:val="Encabezamiento 2"/>
        <w:widowControl w:val="0"/>
      </w:pPr>
    </w:p>
    <w:p>
      <w:pPr>
        <w:pStyle w:val="Encabezamiento 2"/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Encabezamiento 2"/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Encabezamiento 2"/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Encabezamiento 2"/>
        <w:rPr>
          <w:rStyle w:val="Ninguno"/>
          <w:b w:val="0"/>
          <w:bCs w:val="0"/>
        </w:rPr>
      </w:pPr>
      <w:r>
        <w:rPr>
          <w:rtl w:val="0"/>
          <w:lang w:val="es-ES_tradnl"/>
        </w:rPr>
        <w:t>5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>. Gesti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>ó</w:t>
      </w:r>
      <w:r>
        <w:rPr>
          <w:rStyle w:val="Ninguno"/>
          <w:outline w:val="0"/>
          <w:color w:val="1f2a4d"/>
          <w:u w:color="1f2a4d"/>
          <w:rtl w:val="0"/>
          <w:lang w:val="es-ES_tradnl"/>
          <w14:textFill>
            <w14:solidFill>
              <w14:srgbClr w14:val="1F2A4D"/>
            </w14:solidFill>
          </w14:textFill>
        </w:rPr>
        <w:t>n de Roles y panel de Superadmin</w:t>
      </w:r>
    </w:p>
    <w:p>
      <w:pPr>
        <w:pStyle w:val="Encabezamiento 2"/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YNDA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no puede dar de alta un cliente sin 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pasar por 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un desarrollador. Crear una marca nueva significa editar un fichero SQL de migraci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n, subirlo al repositorio y desplegar. No hay ninguna pantalla para hacerlo. Lo dice el propio c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digo, en un comentario: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"ONBOARDING A NEW TENANT: add a block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Style w:val="Ninguno"/>
          <w:b w:val="0"/>
          <w:bCs w:val="0"/>
          <w:i w:val="1"/>
          <w:i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below"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Encabezamiento 2"/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De los seis roles que existen en el modelo de datos, la aplicaci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n solo sabe asignar dos: usuario y admin de marca. Los roles de ESG y de Marketing est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n definidos en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la base de datos, pero no hay forma de d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rselos a nadie. Tampoco existen cuentas reales de operaciones: el equipo de Kynda trabaja como admin de marca en todos los clientes a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la vez. Ese apa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o es justo la raz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n de que cualquier administrador de una empresa pueda ver la cola de validaci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de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las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dem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s,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:lang w:val="it-IT"/>
          <w14:textFill>
            <w14:solidFill>
              <w14:srgbClr w14:val="000000"/>
            </w14:solidFill>
          </w14:textFill>
        </w:rPr>
        <w:t>con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nombres,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:lang w:val="pt-PT"/>
          <w14:textFill>
            <w14:solidFill>
              <w14:srgbClr w14:val="000000"/>
            </w14:solidFill>
          </w14:textFill>
        </w:rPr>
        <w:t>correos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fotos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de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sus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voluntarios.</w:t>
      </w:r>
    </w:p>
    <w:p>
      <w:pPr>
        <w:pStyle w:val="Encabezamiento 2"/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Ninguno"/>
          <w:b w:val="1"/>
          <w:bCs w:val="1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E</w:t>
      </w:r>
      <w:r>
        <w:rPr>
          <w:rStyle w:val="Ninguno"/>
          <w:b w:val="1"/>
          <w:bCs w:val="1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sto no es una mejora deseable, es un cimiento que falta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. Sin panel de superadmin, cada cliente nuevo es un ticket de desarrollo y despliegue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.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S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in roles de verdad no se pueden cerrar del todo los agujeros de seguridad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.</w:t>
      </w:r>
      <w:r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Encabezamiento 2"/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Encabezamiento 2"/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Encabezamiento 2"/>
        <w:rPr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Encabezamiento 2"/>
      </w:pPr>
      <w:r>
        <w:rPr>
          <w:rtl w:val="0"/>
          <w:lang w:val="es-ES_tradnl"/>
        </w:rPr>
        <w:t>6. Otros</w:t>
      </w:r>
    </w:p>
    <w:p>
      <w:pPr>
        <w:pStyle w:val="Encabezamiento 2"/>
        <w:numPr>
          <w:ilvl w:val="0"/>
          <w:numId w:val="2"/>
        </w:numPr>
        <w:rPr>
          <w:b w:val="0"/>
          <w:bCs w:val="0"/>
          <w:outline w:val="0"/>
          <w:color w:val="000000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b w:val="1"/>
          <w:bCs w:val="1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Fallos que un usuario real va a notar.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Subir una evidencia con dos o tres fotos puede fallar despu</w:t>
      </w:r>
      <w:r>
        <w:rPr>
          <w:b w:val="0"/>
          <w:bCs w:val="0"/>
          <w:outline w:val="0"/>
          <w:color w:val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s de haber hecho la acci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n, por un l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b w:val="0"/>
          <w:bCs w:val="0"/>
          <w:outline w:val="0"/>
          <w:color w:val="000000"/>
          <w:rtl w:val="0"/>
          <w:lang w:val="pt-PT"/>
          <w14:textFill>
            <w14:solidFill>
              <w14:srgbClr w14:val="000000"/>
            </w14:solidFill>
          </w14:textFill>
        </w:rPr>
        <w:t>mite de tama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o. Si algo se rompe a mitad, la evidencia se queda colgada y no llega nunca al validador. Las plazas de una jornada se ense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an pero no se respetan: puedes apuntarte a algo de 10 plazas siendo el n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mero 200. Y al crear una jornada nueva se pierde parte de su configuraci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</w:t>
      </w:r>
    </w:p>
    <w:p>
      <w:pPr>
        <w:pStyle w:val="Encabezamiento 2"/>
        <w:numPr>
          <w:ilvl w:val="0"/>
          <w:numId w:val="2"/>
        </w:numPr>
        <w:rPr>
          <w:b w:val="0"/>
          <w:bCs w:val="0"/>
          <w:outline w:val="0"/>
          <w:color w:val="000000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b w:val="1"/>
          <w:bCs w:val="1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Rendimiento.</w:t>
      </w:r>
      <w:r>
        <w:rPr>
          <w:b w:val="0"/>
          <w:bCs w:val="0"/>
          <w:outline w:val="0"/>
          <w:color w:val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La 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plataforma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est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pensada para una demo con 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de pocas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marcas. Con cientos de campa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as o decenas de miles de evidencias, varias pantallas se vuelven lentas o deja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r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n</w:t>
      </w:r>
      <w:r>
        <w:rPr>
          <w:b w:val="0"/>
          <w:bCs w:val="0"/>
          <w:outline w:val="0"/>
          <w:color w:val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de funcionar.</w:t>
      </w:r>
    </w:p>
    <w:p>
      <w:pPr>
        <w:pStyle w:val="Encabezamiento 2"/>
        <w:numPr>
          <w:ilvl w:val="0"/>
          <w:numId w:val="2"/>
        </w:numPr>
        <w:rPr>
          <w:b w:val="0"/>
          <w:bCs w:val="0"/>
          <w:outline w:val="0"/>
          <w:color w:val="000000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b w:val="1"/>
          <w:bCs w:val="1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Experiencia y accesibilidad.</w:t>
      </w:r>
      <w:r>
        <w:rPr>
          <w:rStyle w:val="Ninguno"/>
          <w:b w:val="1"/>
          <w:bCs w:val="1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Los formularios no est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n bien etiquetados para quien usa lector de pantalla. Acciones graves, como bloquear a alguien o cerrar una campa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a, no piden confirmaci</w:t>
      </w:r>
      <w:r>
        <w:rPr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n.</w:t>
      </w:r>
    </w:p>
    <w:p>
      <w:pPr>
        <w:pStyle w:val="Encabezamiento 2"/>
        <w:numPr>
          <w:ilvl w:val="0"/>
          <w:numId w:val="3"/>
        </w:numPr>
      </w:pPr>
      <w:r>
        <w:rPr>
          <w:rStyle w:val="Ninguno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Traducciones. N</w:t>
      </w:r>
      <w:r>
        <w:rPr>
          <w:rStyle w:val="Ninguno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o existe la capa de internacionalizaci</w:t>
      </w:r>
      <w:r>
        <w:rPr>
          <w:rStyle w:val="Ninguno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outline w:val="0"/>
          <w:color w:val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n: </w:t>
      </w:r>
      <w:r>
        <w:rPr>
          <w:rStyle w:val="Ninguno"/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no hay librer</w:t>
      </w:r>
      <w:r>
        <w:rPr>
          <w:rStyle w:val="Ninguno"/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Style w:val="Ninguno"/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Style w:val="Ninguno"/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i18n, no hay cat</w:t>
      </w:r>
      <w:r>
        <w:rPr>
          <w:rStyle w:val="Ninguno"/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logo de mensajes y el idioma no es una variable en ninguna parte del c</w:t>
      </w:r>
      <w:r>
        <w:rPr>
          <w:rStyle w:val="Ninguno"/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digo. El texto est</w:t>
      </w:r>
      <w:r>
        <w:rPr>
          <w:rStyle w:val="Ninguno"/>
          <w:b w:val="0"/>
          <w:bCs w:val="0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b w:val="0"/>
          <w:bCs w:val="0"/>
          <w:outline w:val="0"/>
          <w:color w:val="000000"/>
          <w:rtl w:val="0"/>
          <w:lang w:val="es-ES_tradnl"/>
          <w14:textFill>
            <w14:solidFill>
              <w14:srgbClr w14:val="000000"/>
            </w14:solidFill>
          </w14:textFill>
        </w:rPr>
        <w:t>escrito directamente dentro de los componentes.</w:t>
      </w:r>
      <w:r>
        <w:rPr>
          <w:rStyle w:val="Ninguno"/>
          <w:b w:val="0"/>
          <w:bCs w:val="0"/>
          <w:outline w:val="0"/>
          <w:color w:val="000000"/>
          <w14:textFill>
            <w14:solidFill>
              <w14:srgbClr w14:val="000000"/>
            </w14:solidFill>
          </w14:textFill>
        </w:rPr>
        <w:br w:type="textWrapping"/>
      </w:r>
      <w:r>
        <w:br w:type="textWrapping"/>
        <w:br w:type="textWrapping"/>
        <w:br w:type="textWrapping"/>
      </w:r>
    </w:p>
    <w:sectPr>
      <w:headerReference w:type="default" r:id="rId4"/>
      <w:footerReference w:type="default" r:id="rId5"/>
      <w:pgSz w:w="12240" w:h="15840" w:orient="portrait"/>
      <w:pgMar w:top="1080" w:right="1200" w:bottom="1080" w:left="12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nsolas">
    <w:charset w:val="00"/>
    <w:family w:val="roman"/>
    <w:pitch w:val="default"/>
  </w:font>
  <w:font w:name="Cambria Bold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Viñetas"/>
  </w:abstractNum>
  <w:abstractNum w:abstractNumId="1">
    <w:multiLevelType w:val="hybridMultilevel"/>
    <w:styleLink w:val="Viñetas"/>
    <w:lvl w:ilvl="0">
      <w:start w:val="1"/>
      <w:numFmt w:val="bullet"/>
      <w:suff w:val="tab"/>
      <w:lvlText w:val="•"/>
      <w:lvlJc w:val="left"/>
      <w:pPr>
        <w:ind w:left="1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97" w:hanging="1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97" w:hanging="1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97" w:hanging="1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97" w:hanging="1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97" w:hanging="1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97" w:hanging="1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97" w:hanging="1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97" w:hanging="1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97" w:hanging="1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Encabezamiento 2">
    <w:name w:val="Encabezamiento 2"/>
    <w:next w:val="Encabezamiento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10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f2a4d"/>
      <w:spacing w:val="0"/>
      <w:kern w:val="0"/>
      <w:position w:val="0"/>
      <w:sz w:val="25"/>
      <w:szCs w:val="25"/>
      <w:u w:val="none" w:color="1f2a4d"/>
      <w:shd w:val="nil" w:color="auto" w:fill="auto"/>
      <w:vertAlign w:val="baseline"/>
      <w14:textOutline>
        <w14:noFill/>
      </w14:textOutline>
      <w14:textFill>
        <w14:solidFill>
          <w14:srgbClr w14:val="1F2A4D"/>
        </w14:solidFill>
      </w14:textFill>
    </w:rPr>
  </w:style>
  <w:style w:type="character" w:styleId="Ninguno">
    <w:name w:val="Ninguno"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Viñetas">
    <w:name w:val="Viñetas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