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600"/>
        <w:jc w:val="left"/>
      </w:pPr>
      <w:r>
        <w:rPr>
          <w:b/>
          <w:bCs/>
          <w:color w:val="6B6B6B"/>
          <w:spacing w:val="60"/>
          <w:sz w:val="30"/>
          <w:szCs w:val="30"/>
        </w:rPr>
        <w:t xml:space="preserve">AUDITORÍA TÉCNICA</w:t>
      </w:r>
    </w:p>
    <w:p>
      <w:pPr>
        <w:spacing w:after="0" w:before="120"/>
      </w:pPr>
      <w:r>
        <w:rPr>
          <w:b/>
          <w:bCs/>
          <w:color w:val="1F2A4D"/>
          <w:sz w:val="68"/>
          <w:szCs w:val="68"/>
        </w:rPr>
        <w:t xml:space="preserve">Plataforma Kynda</w:t>
      </w:r>
    </w:p>
    <w:p>
      <w:pPr>
        <w:spacing w:after="400" w:before="40"/>
      </w:pPr>
      <w:r>
        <w:rPr>
          <w:color w:val="555555"/>
          <w:sz w:val="30"/>
          <w:szCs w:val="30"/>
        </w:rPr>
        <w:t xml:space="preserve">Revisión de código, seguridad y arquitectura</w:t>
      </w:r>
    </w:p>
    <w:p>
      <w:pPr>
        <w:pBdr>
          <w:bottom w:val="single" w:color="1F2A4D" w:sz="12"/>
        </w:pBdr>
        <w:spacing w:after="3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1F2A4D"/>
              </w:rPr>
              <w:t xml:space="preserve">Repositorio</w:t>
            </w:r>
          </w:p>
        </w:tc>
        <w:tc>
          <w:tcPr>
            <w:tcW w:type="dxa" w:w="71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t xml:space="preserve">itproviders-netizen/kynda-poc</w:t>
            </w:r>
          </w:p>
        </w:tc>
      </w:tr>
      <w:tr>
        <w:tc>
          <w:tcPr>
            <w:tcW w:type="dxa" w:w="22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1F2A4D"/>
              </w:rPr>
              <w:t xml:space="preserve">Fecha</w:t>
            </w:r>
          </w:p>
        </w:tc>
        <w:tc>
          <w:tcPr>
            <w:tcW w:type="dxa" w:w="71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t xml:space="preserve">5 de agosto de 2026</w:t>
            </w:r>
          </w:p>
        </w:tc>
      </w:tr>
      <w:tr>
        <w:tc>
          <w:tcPr>
            <w:tcW w:type="dxa" w:w="22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1F2A4D"/>
              </w:rPr>
              <w:t xml:space="preserve">Alcance</w:t>
            </w:r>
          </w:p>
        </w:tc>
        <w:tc>
          <w:tcPr>
            <w:tcW w:type="dxa" w:w="71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t xml:space="preserve">17.596 líneas TS/TSX · 5.046 líneas SQL (36 migraciones) · 3.268 líneas de tests</w:t>
            </w:r>
          </w:p>
        </w:tc>
      </w:tr>
      <w:tr>
        <w:tc>
          <w:tcPr>
            <w:tcW w:type="dxa" w:w="22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1F2A4D"/>
              </w:rPr>
              <w:t xml:space="preserve">Método</w:t>
            </w:r>
          </w:p>
        </w:tc>
        <w:tc>
          <w:tcPr>
            <w:tcW w:type="dxa" w:w="71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t xml:space="preserve">9 auditorías especializadas en paralelo; hallazgos críticos verificados por lectura directa del código</w:t>
            </w:r>
          </w:p>
        </w:tc>
      </w:tr>
      <w:tr>
        <w:tc>
          <w:tcPr>
            <w:tcW w:type="dxa" w:w="22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1F2A4D"/>
              </w:rPr>
              <w:t xml:space="preserve">Clasificación</w:t>
            </w:r>
          </w:p>
        </w:tc>
        <w:tc>
          <w:tcPr>
            <w:tcW w:type="dxa" w:w="71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t xml:space="preserve">Confidencial</w:t>
            </w:r>
          </w:p>
        </w:tc>
      </w:tr>
    </w:tbl>
    <w:p>
      <w:r>
        <w:br w:type="page"/>
      </w:r>
    </w:p>
    <w:p>
      <w:pPr>
        <w:pStyle w:val="Heading1"/>
        <w:spacing w:after="140" w:before="320"/>
      </w:pPr>
      <w:r>
        <w:rPr>
          <w:b/>
          <w:bCs/>
          <w:color w:val="1F2A4D"/>
        </w:rPr>
        <w:t xml:space="preserve">Contenido</w:t>
      </w:r>
    </w:p>
    <w:p>
      <w:pPr>
        <w:pBdr>
          <w:bottom w:val="dotted" w:color="D5D8E2" w:sz="4"/>
        </w:pBdr>
        <w:spacing w:after="100" w:line="300"/>
      </w:pPr>
      <w:r>
        <w:rPr>
          <w:color w:val="333333"/>
          <w:sz w:val="22"/>
          <w:szCs w:val="22"/>
        </w:rPr>
        <w:t xml:space="preserve">1.  Veredicto</w:t>
      </w:r>
    </w:p>
    <w:p>
      <w:pPr>
        <w:pBdr>
          <w:bottom w:val="dotted" w:color="D5D8E2" w:sz="4"/>
        </w:pBdr>
        <w:spacing w:after="100" w:line="300"/>
      </w:pPr>
      <w:r>
        <w:rPr>
          <w:color w:val="333333"/>
          <w:sz w:val="22"/>
          <w:szCs w:val="22"/>
        </w:rPr>
        <w:t xml:space="preserve">2.  Los cinco puntos débiles que importan</w:t>
      </w:r>
    </w:p>
    <w:p>
      <w:pPr>
        <w:pBdr>
          <w:bottom w:val="dotted" w:color="D5D8E2" w:sz="4"/>
        </w:pBdr>
        <w:spacing w:after="100" w:line="300"/>
      </w:pPr>
      <w:r>
        <w:rPr>
          <w:color w:val="333333"/>
          <w:sz w:val="22"/>
          <w:szCs w:val="22"/>
        </w:rPr>
        <w:t xml:space="preserve">3.  Puntos débiles estructurales</w:t>
      </w:r>
    </w:p>
    <w:p>
      <w:pPr>
        <w:pBdr>
          <w:bottom w:val="dotted" w:color="D5D8E2" w:sz="4"/>
        </w:pBdr>
        <w:spacing w:after="100" w:line="300"/>
      </w:pPr>
      <w:r>
        <w:rPr>
          <w:color w:val="333333"/>
          <w:sz w:val="22"/>
          <w:szCs w:val="22"/>
        </w:rPr>
        <w:t xml:space="preserve">4.  Rendimiento: a qué escala se rompe</w:t>
      </w:r>
    </w:p>
    <w:p>
      <w:pPr>
        <w:pBdr>
          <w:bottom w:val="dotted" w:color="D5D8E2" w:sz="4"/>
        </w:pBdr>
        <w:spacing w:after="100" w:line="300"/>
      </w:pPr>
      <w:r>
        <w:rPr>
          <w:color w:val="333333"/>
          <w:sz w:val="22"/>
          <w:szCs w:val="22"/>
        </w:rPr>
        <w:t xml:space="preserve">5.  Accesibilidad: barreras de nivel A</w:t>
      </w:r>
    </w:p>
    <w:p>
      <w:pPr>
        <w:pBdr>
          <w:bottom w:val="dotted" w:color="D5D8E2" w:sz="4"/>
        </w:pBdr>
        <w:spacing w:after="100" w:line="300"/>
      </w:pPr>
      <w:r>
        <w:rPr>
          <w:color w:val="333333"/>
          <w:sz w:val="22"/>
          <w:szCs w:val="22"/>
        </w:rPr>
        <w:t xml:space="preserve">6.  Mantenibilidad</w:t>
      </w:r>
    </w:p>
    <w:p>
      <w:pPr>
        <w:pBdr>
          <w:bottom w:val="dotted" w:color="D5D8E2" w:sz="4"/>
        </w:pBdr>
        <w:spacing w:after="100" w:line="300"/>
      </w:pPr>
      <w:r>
        <w:rPr>
          <w:color w:val="333333"/>
          <w:sz w:val="22"/>
          <w:szCs w:val="22"/>
        </w:rPr>
        <w:t xml:space="preserve">7.  Lo que está bien (y conviene conservar)</w:t>
      </w:r>
    </w:p>
    <w:p>
      <w:pPr>
        <w:pBdr>
          <w:bottom w:val="dotted" w:color="D5D8E2" w:sz="4"/>
        </w:pBdr>
        <w:spacing w:after="100" w:line="300"/>
      </w:pPr>
      <w:r>
        <w:rPr>
          <w:color w:val="333333"/>
          <w:sz w:val="22"/>
          <w:szCs w:val="22"/>
        </w:rPr>
        <w:t xml:space="preserve">8.  Plan de remediación priorizado</w:t>
      </w:r>
    </w:p>
    <w:p>
      <w:pPr>
        <w:pBdr>
          <w:bottom w:val="dotted" w:color="D5D8E2" w:sz="4"/>
        </w:pBdr>
        <w:spacing w:after="100" w:line="300"/>
      </w:pPr>
      <w:r>
        <w:rPr>
          <w:color w:val="333333"/>
          <w:sz w:val="22"/>
          <w:szCs w:val="22"/>
        </w:rPr>
        <w:t xml:space="preserve">9.  Conclusión</w:t>
      </w:r>
    </w:p>
    <w:p>
      <w:r>
        <w:br w:type="page"/>
      </w:r>
    </w:p>
    <w:p>
      <w:pPr>
        <w:pStyle w:val="Heading1"/>
        <w:spacing w:after="140" w:before="320"/>
      </w:pPr>
      <w:r>
        <w:rPr>
          <w:b/>
          <w:bCs/>
          <w:color w:val="1F2A4D"/>
        </w:rPr>
        <w:t xml:space="preserve">1. Veredicto</w:t>
      </w:r>
    </w:p>
    <w:p>
      <w:pPr>
        <w:spacing w:after="120" w:line="276"/>
      </w:pPr>
      <w:r>
        <w:t xml:space="preserve">La plataforma tiene una </w:t>
      </w:r>
      <w:r>
        <w:rPr>
          <w:b/>
          <w:bCs/>
        </w:rPr>
        <w:t xml:space="preserve">base arquitectónica buena y un núcleo de cadenas QR excelente</w:t>
      </w:r>
      <w:r>
        <w:t xml:space="preserve">, sostenidos por una suite de tests genuina. Sobre esa base hay </w:t>
      </w:r>
      <w:r>
        <w:rPr>
          <w:b/>
          <w:bCs/>
        </w:rPr>
        <w:t xml:space="preserve">una capa de aplicación con agujeros de autorización graves</w:t>
      </w:r>
      <w:r>
        <w:t xml:space="preserve">, un </w:t>
      </w:r>
      <w:r>
        <w:rPr>
          <w:b/>
          <w:bCs/>
        </w:rPr>
        <w:t xml:space="preserve">bug de datos que invalida el reporting</w:t>
      </w:r>
      <w:r>
        <w:t xml:space="preserve"> y la </w:t>
      </w:r>
      <w:r>
        <w:rPr>
          <w:b/>
          <w:bCs/>
        </w:rPr>
        <w:t xml:space="preserve">ausencia total del diferencial de producto</w:t>
      </w:r>
      <w:r>
        <w:t xml:space="preserve"> (IA, contenido generado, white-label).</w:t>
      </w:r>
    </w:p>
    <w:p>
      <w:pPr>
        <w:spacing w:after="120" w:line="276"/>
      </w:pPr>
      <w:r>
        <w:rPr>
          <w:i/>
          <w:iCs/>
        </w:rPr>
        <w:t xml:space="preserve">No es un proyecto que haya que tirar. Es un proyecto al que le falta el 30 % más difícil y le sobran riesgos que hoy son explotables.</w:t>
      </w:r>
    </w:p>
    <w:p>
      <w:pPr>
        <w:pStyle w:val="Heading3"/>
        <w:spacing w:after="60" w:before="180"/>
      </w:pPr>
      <w:r>
        <w:rPr>
          <w:b/>
          <w:bCs/>
          <w:color w:val="1F2A4D"/>
        </w:rPr>
        <w:t xml:space="preserve">Cuadro de calificación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1100"/>
        <w:gridCol w:w="4860"/>
      </w:tblGrid>
      <w:tr>
        <w:trPr>
          <w:tblHeader/>
        </w:trPr>
        <w:tc>
          <w:tcPr>
            <w:tcW w:type="dxa" w:w="34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Dimensión</w:t>
            </w:r>
          </w:p>
        </w:tc>
        <w:tc>
          <w:tcPr>
            <w:tcW w:type="dxa" w:w="11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Nota</w:t>
            </w:r>
          </w:p>
        </w:tc>
        <w:tc>
          <w:tcPr>
            <w:tcW w:type="dxa" w:w="48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Comentario</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Modelo de datos y cadenas QR</w:t>
            </w:r>
          </w:p>
        </w:tc>
        <w:tc>
          <w:tcPr>
            <w:tcW w:type="dxa" w:w="11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1E7A46"/>
              </w:rPr>
              <w:t xml:space="preserve">9/10</w:t>
            </w:r>
          </w:p>
        </w:tc>
        <w:tc>
          <w:tcPr>
            <w:tcW w:type="dxa" w:w="48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Invariantes en BD, RPC serializado. Lo mejor del repo</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Suite de tests</w:t>
            </w:r>
          </w:p>
        </w:tc>
        <w:tc>
          <w:tcPr>
            <w:tcW w:type="dxa" w:w="11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1E7A46"/>
              </w:rPr>
              <w:t xml:space="preserve">8/10</w:t>
            </w:r>
          </w:p>
        </w:tc>
        <w:tc>
          <w:tcPr>
            <w:tcW w:type="dxa" w:w="48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57 tests de integración + 18 e2e reales contra BD</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Cobertura funcional construida</w:t>
            </w:r>
          </w:p>
        </w:tc>
        <w:tc>
          <w:tcPr>
            <w:tcW w:type="dxa" w:w="11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1E7A46"/>
              </w:rPr>
              <w:t xml:space="preserve">7/10</w:t>
            </w:r>
          </w:p>
        </w:tc>
        <w:tc>
          <w:tcPr>
            <w:tcW w:type="dxa" w:w="48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Flujos de usuario y admin completos</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Documentación en código</w:t>
            </w:r>
          </w:p>
        </w:tc>
        <w:tc>
          <w:tcPr>
            <w:tcW w:type="dxa" w:w="11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1E7A46"/>
              </w:rPr>
              <w:t xml:space="preserve">7/10</w:t>
            </w:r>
          </w:p>
        </w:tc>
        <w:tc>
          <w:tcPr>
            <w:tcW w:type="dxa" w:w="48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Comentarios que explican el porqué</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Autorización en la capa de app</w:t>
            </w:r>
          </w:p>
        </w:tc>
        <w:tc>
          <w:tcPr>
            <w:tcW w:type="dxa" w:w="11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B3261E"/>
              </w:rPr>
              <w:t xml:space="preserve">2/10</w:t>
            </w:r>
          </w:p>
        </w:tc>
        <w:tc>
          <w:tcPr>
            <w:tcW w:type="dxa" w:w="48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6 vías de escalada/fuga verificadas</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Corrección de datos (KPIs)</w:t>
            </w:r>
          </w:p>
        </w:tc>
        <w:tc>
          <w:tcPr>
            <w:tcW w:type="dxa" w:w="11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B3261E"/>
              </w:rPr>
              <w:t xml:space="preserve">1/10</w:t>
            </w:r>
          </w:p>
        </w:tc>
        <w:tc>
          <w:tcPr>
            <w:tcW w:type="dxa" w:w="48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Reporting silenciosamente falso a escala</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Accesibilidad</w:t>
            </w:r>
          </w:p>
        </w:tc>
        <w:tc>
          <w:tcPr>
            <w:tcW w:type="dxa" w:w="11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B3261E"/>
              </w:rPr>
              <w:t xml:space="preserve">2/10</w:t>
            </w:r>
          </w:p>
        </w:tc>
        <w:tc>
          <w:tcPr>
            <w:tcW w:type="dxa" w:w="48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Barreras WCAG nivel A en todos los formularios</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Rendimiento a escala</w:t>
            </w:r>
          </w:p>
        </w:tc>
        <w:tc>
          <w:tcPr>
            <w:tcW w:type="dxa" w:w="11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B26A00"/>
              </w:rPr>
              <w:t xml:space="preserve">3/10</w:t>
            </w:r>
          </w:p>
        </w:tc>
        <w:tc>
          <w:tcPr>
            <w:tcW w:type="dxa" w:w="48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Se rompe a partir de ~1.000 evidencias</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IA / contenido / white-label</w:t>
            </w:r>
          </w:p>
        </w:tc>
        <w:tc>
          <w:tcPr>
            <w:tcW w:type="dxa" w:w="11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B3261E"/>
              </w:rPr>
              <w:t xml:space="preserve">0/10</w:t>
            </w:r>
          </w:p>
        </w:tc>
        <w:tc>
          <w:tcPr>
            <w:tcW w:type="dxa" w:w="48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No existe</w:t>
            </w:r>
          </w:p>
        </w:tc>
      </w:tr>
    </w:tbl>
    <w:p>
      <w:r>
        <w:br w:type="page"/>
      </w:r>
    </w:p>
    <w:p>
      <w:pPr>
        <w:pStyle w:val="Heading1"/>
        <w:spacing w:after="140" w:before="320"/>
      </w:pPr>
      <w:r>
        <w:rPr>
          <w:b/>
          <w:bCs/>
          <w:color w:val="1F2A4D"/>
        </w:rPr>
        <w:t xml:space="preserve">2. Los cinco puntos débiles que importan</w:t>
      </w:r>
    </w:p>
    <w:p>
      <w:pPr>
        <w:pStyle w:val="Heading2"/>
        <w:spacing w:after="100" w:before="240"/>
      </w:pPr>
      <w:r>
        <w:rPr>
          <w:b/>
          <w:bCs/>
          <w:color w:val="1F2A4D"/>
        </w:rPr>
        <w:t xml:space="preserve">2.1  Cualquier usuario puede aprobar evidencias de cualquier marca</w:t>
      </w:r>
    </w:p>
    <w:p>
      <w:pPr>
        <w:spacing w:after="120" w:line="276"/>
      </w:pPr>
      <w:r>
        <w:rPr>
          <w:b/>
          <w:bCs/>
          <w:color w:val="B3261E"/>
        </w:rPr>
        <w:t xml:space="preserve">CRÍTICO</w:t>
      </w:r>
      <w:r>
        <w:t xml:space="preserve">   ·   </w:t>
      </w:r>
      <w:r>
        <w:rPr>
          <w:rFonts w:ascii="Consolas" w:cs="Consolas" w:eastAsia="Consolas" w:hAnsi="Consolas"/>
          <w:color w:val="444444"/>
          <w:sz w:val="18"/>
          <w:szCs w:val="18"/>
        </w:rPr>
        <w:t xml:space="preserve">apps/web/app/(ops)/actions.ts:23, 91, 135</w:t>
      </w:r>
    </w:p>
    <w:p>
      <w:pPr>
        <w:spacing w:after="120" w:line="276"/>
      </w:pPr>
      <w:r>
        <w:t xml:space="preserve">Las tres funciones que deciden el destino de una evidencia —</w:t>
      </w:r>
      <w:r>
        <w:rPr>
          <w:rFonts w:ascii="Consolas" w:cs="Consolas" w:eastAsia="Consolas" w:hAnsi="Consolas"/>
          <w:color w:val="444444"/>
          <w:sz w:val="18"/>
          <w:szCs w:val="18"/>
        </w:rPr>
        <w:t xml:space="preserve">approveEvidence</w:t>
      </w:r>
      <w:r>
        <w:t xml:space="preserve">, </w:t>
      </w:r>
      <w:r>
        <w:rPr>
          <w:rFonts w:ascii="Consolas" w:cs="Consolas" w:eastAsia="Consolas" w:hAnsi="Consolas"/>
          <w:color w:val="444444"/>
          <w:sz w:val="18"/>
          <w:szCs w:val="18"/>
        </w:rPr>
        <w:t xml:space="preserve">rejectEvidence</w:t>
      </w:r>
      <w:r>
        <w:t xml:space="preserve">, </w:t>
      </w:r>
      <w:r>
        <w:rPr>
          <w:rFonts w:ascii="Consolas" w:cs="Consolas" w:eastAsia="Consolas" w:hAnsi="Consolas"/>
          <w:color w:val="444444"/>
          <w:sz w:val="18"/>
          <w:szCs w:val="18"/>
        </w:rPr>
        <w:t xml:space="preserve">requestClarification</w:t>
      </w:r>
      <w:r>
        <w:t xml:space="preserve">— </w:t>
      </w:r>
      <w:r>
        <w:rPr>
          <w:b/>
          <w:bCs/>
        </w:rPr>
        <w:t xml:space="preserve">no comprueban ningún rol</w:t>
      </w:r>
      <w:r>
        <w:t xml:space="preserve">. Usan el cliente </w:t>
      </w:r>
      <w:r>
        <w:rPr>
          <w:rFonts w:ascii="Consolas" w:cs="Consolas" w:eastAsia="Consolas" w:hAnsi="Consolas"/>
          <w:color w:val="444444"/>
          <w:sz w:val="18"/>
          <w:szCs w:val="18"/>
        </w:rPr>
        <w:t xml:space="preserve">service_role</w:t>
      </w:r>
      <w:r>
        <w:t xml:space="preserve"> (que se salta la seguridad de la base de datos) y solo leen la sesión para rellenar el campo </w:t>
      </w:r>
      <w:r>
        <w:rPr>
          <w:rFonts w:ascii="Consolas" w:cs="Consolas" w:eastAsia="Consolas" w:hAnsi="Consolas"/>
          <w:color w:val="444444"/>
          <w:sz w:val="18"/>
          <w:szCs w:val="18"/>
        </w:rPr>
        <w:t xml:space="preserve">reviewer_id</w:t>
      </w:r>
      <w:r>
        <w:t xml:space="preserve">, aceptando incluso </w:t>
      </w:r>
      <w:r>
        <w:rPr>
          <w:rFonts w:ascii="Consolas" w:cs="Consolas" w:eastAsia="Consolas" w:hAnsi="Consolas"/>
          <w:color w:val="444444"/>
          <w:sz w:val="18"/>
          <w:szCs w:val="18"/>
        </w:rPr>
        <w:t xml:space="preserve">null</w:t>
      </w:r>
      <w:r>
        <w:t xml:space="preserve">.</w:t>
      </w:r>
    </w:p>
    <w:p>
      <w:pPr>
        <w:spacing w:after="120" w:line="276"/>
      </w:pPr>
      <w:r>
        <w:t xml:space="preserve">El control de acceso está en </w:t>
      </w:r>
      <w:r>
        <w:rPr>
          <w:rFonts w:ascii="Consolas" w:cs="Consolas" w:eastAsia="Consolas" w:hAnsi="Consolas"/>
          <w:color w:val="444444"/>
          <w:sz w:val="18"/>
          <w:szCs w:val="18"/>
        </w:rPr>
        <w:t xml:space="preserve">(ops)/layout.tsx</w:t>
      </w:r>
      <w:r>
        <w:t xml:space="preserve">, que protege </w:t>
      </w:r>
      <w:r>
        <w:rPr>
          <w:i/>
          <w:iCs/>
        </w:rPr>
        <w:t xml:space="preserve">la página</w:t>
      </w:r>
      <w:r>
        <w:t xml:space="preserve">, no el endpoint. Una server action de Next es un endpoint HTTP invocable directamente con un POST. Lo demoledor es que </w:t>
      </w:r>
      <w:r>
        <w:rPr>
          <w:b/>
          <w:bCs/>
        </w:rPr>
        <w:t xml:space="preserve">el propio código sabe que esto importa</w:t>
      </w:r>
      <w:r>
        <w:t xml:space="preserve">: en </w:t>
      </w:r>
      <w:r>
        <w:rPr>
          <w:rFonts w:ascii="Consolas" w:cs="Consolas" w:eastAsia="Consolas" w:hAnsi="Consolas"/>
          <w:color w:val="444444"/>
          <w:sz w:val="18"/>
          <w:szCs w:val="18"/>
        </w:rPr>
        <w:t xml:space="preserve">(app)/actions.ts:10-12</w:t>
      </w:r>
      <w:r>
        <w:t xml:space="preserve"> está escrito que “un server action es un endpoint invocable por su cuenta, así que la guarda de verdad va aquí”. En el panel de marca, </w:t>
      </w:r>
      <w:r>
        <w:rPr>
          <w:rFonts w:ascii="Consolas" w:cs="Consolas" w:eastAsia="Consolas" w:hAnsi="Consolas"/>
          <w:color w:val="444444"/>
          <w:sz w:val="18"/>
          <w:szCs w:val="18"/>
        </w:rPr>
        <w:t xml:space="preserve">requireBrandAdmin()</w:t>
      </w:r>
      <w:r>
        <w:t xml:space="preserve"> se aplica en las 21 acciones. El agujero está exclusivamente en Ops.</w:t>
      </w:r>
    </w:p>
    <w:p>
      <w:pPr>
        <w:spacing w:after="120" w:line="276"/>
      </w:pPr>
      <w:r>
        <w:rPr>
          <w:b/>
          <w:bCs/>
        </w:rPr>
        <w:t xml:space="preserve">Consecuencia: </w:t>
      </w:r>
      <w:r>
        <w:t xml:space="preserve">un empleado cualquiera aprueba sus propias evidencias y las de otras empresas, dispara el avance de cadenas ajenas y contamina los KPIs de impacto de terceros.</w:t>
      </w:r>
    </w:p>
    <w:p>
      <w:pPr>
        <w:pBdr>
          <w:bottom w:val="single" w:color="CCCCCC" w:sz="6"/>
        </w:pBdr>
        <w:spacing w:after="160" w:before="80"/>
      </w:pPr>
      <w:r>
        <w:t xml:space="preserve"/>
      </w:r>
    </w:p>
    <w:p>
      <w:pPr>
        <w:pStyle w:val="Heading2"/>
        <w:spacing w:after="100" w:before="240"/>
      </w:pPr>
      <w:r>
        <w:rPr>
          <w:b/>
          <w:bCs/>
          <w:color w:val="1F2A4D"/>
        </w:rPr>
        <w:t xml:space="preserve">2.2  Un usuario puede auto-aprobarse las evidencias por base de datos</w:t>
      </w:r>
    </w:p>
    <w:p>
      <w:pPr>
        <w:spacing w:after="120" w:line="276"/>
      </w:pPr>
      <w:r>
        <w:rPr>
          <w:b/>
          <w:bCs/>
          <w:color w:val="B3261E"/>
        </w:rPr>
        <w:t xml:space="preserve">CRÍTICO</w:t>
      </w:r>
      <w:r>
        <w:t xml:space="preserve">   ·   </w:t>
      </w:r>
      <w:r>
        <w:rPr>
          <w:rFonts w:ascii="Consolas" w:cs="Consolas" w:eastAsia="Consolas" w:hAnsi="Consolas"/>
          <w:color w:val="444444"/>
          <w:sz w:val="18"/>
          <w:szCs w:val="18"/>
        </w:rPr>
        <w:t xml:space="preserve">20260526000100_rls.sql:215-236</w:t>
      </w:r>
      <w:r>
        <w:t xml:space="preserve">  +  </w:t>
      </w:r>
      <w:r>
        <w:rPr>
          <w:rFonts w:ascii="Consolas" w:cs="Consolas" w:eastAsia="Consolas" w:hAnsi="Consolas"/>
          <w:color w:val="444444"/>
          <w:sz w:val="18"/>
          <w:szCs w:val="18"/>
        </w:rPr>
        <w:t xml:space="preserve">20260526000000_schema.sql:396-422</w:t>
      </w:r>
    </w:p>
    <w:p>
      <w:pPr>
        <w:spacing w:after="120" w:line="276"/>
      </w:pPr>
      <w:r>
        <w:t xml:space="preserve">Las políticas </w:t>
      </w:r>
      <w:r>
        <w:rPr>
          <w:rFonts w:ascii="Consolas" w:cs="Consolas" w:eastAsia="Consolas" w:hAnsi="Consolas"/>
          <w:color w:val="444444"/>
          <w:sz w:val="18"/>
          <w:szCs w:val="18"/>
        </w:rPr>
        <w:t xml:space="preserve">execution_self_update</w:t>
      </w:r>
      <w:r>
        <w:t xml:space="preserve"> y </w:t>
      </w:r>
      <w:r>
        <w:rPr>
          <w:rFonts w:ascii="Consolas" w:cs="Consolas" w:eastAsia="Consolas" w:hAnsi="Consolas"/>
          <w:color w:val="444444"/>
          <w:sz w:val="18"/>
          <w:szCs w:val="18"/>
        </w:rPr>
        <w:t xml:space="preserve">evidence_self_update</w:t>
      </w:r>
      <w:r>
        <w:t xml:space="preserve"> autorizan al dueño de la fila a modificarla (</w:t>
      </w:r>
      <w:r>
        <w:rPr>
          <w:rFonts w:ascii="Consolas" w:cs="Consolas" w:eastAsia="Consolas" w:hAnsi="Consolas"/>
          <w:color w:val="444444"/>
          <w:sz w:val="18"/>
          <w:szCs w:val="18"/>
        </w:rPr>
        <w:t xml:space="preserve">user_id = auth.uid()</w:t>
      </w:r>
      <w:r>
        <w:t xml:space="preserve">), y el guard de la máquina de estados valida que la transición sea </w:t>
      </w:r>
      <w:r>
        <w:rPr>
          <w:i/>
          <w:iCs/>
        </w:rPr>
        <w:t xml:space="preserve">legal</w:t>
      </w:r>
      <w:r>
        <w:t xml:space="preserve">, pero no </w:t>
      </w:r>
      <w:r>
        <w:rPr>
          <w:i/>
          <w:iCs/>
        </w:rPr>
        <w:t xml:space="preserve">quién</w:t>
      </w:r>
      <w:r>
        <w:t xml:space="preserve"> la hace: permite </w:t>
      </w:r>
      <w:r>
        <w:rPr>
          <w:rFonts w:ascii="Consolas" w:cs="Consolas" w:eastAsia="Consolas" w:hAnsi="Consolas"/>
          <w:color w:val="444444"/>
          <w:sz w:val="18"/>
          <w:szCs w:val="18"/>
        </w:rPr>
        <w:t xml:space="preserve">IN_VALIDATION → APPROVED</w:t>
      </w:r>
      <w:r>
        <w:t xml:space="preserve"> sin comprobar rol.</w:t>
      </w:r>
    </w:p>
    <w:p>
      <w:pPr>
        <w:spacing w:after="120" w:line="276"/>
      </w:pPr>
      <w:r>
        <w:t xml:space="preserve">La clave anónima es </w:t>
      </w:r>
      <w:r>
        <w:rPr>
          <w:rFonts w:ascii="Consolas" w:cs="Consolas" w:eastAsia="Consolas" w:hAnsi="Consolas"/>
          <w:color w:val="444444"/>
          <w:sz w:val="18"/>
          <w:szCs w:val="18"/>
        </w:rPr>
        <w:t xml:space="preserve">NEXT_PUBLIC_SUPABASE_ANON_KEY</w:t>
      </w:r>
      <w:r>
        <w:t xml:space="preserve"> —pública en el navegador—, así que el endpoint PostgREST es alcanzable </w:t>
      </w:r>
      <w:r>
        <w:rPr>
          <w:b/>
          <w:bCs/>
        </w:rPr>
        <w:t xml:space="preserve">sin pasar por la aplicación</w:t>
      </w:r>
      <w:r>
        <w:t xml:space="preserve">. Un </w:t>
      </w:r>
      <w:r>
        <w:rPr>
          <w:rFonts w:ascii="Consolas" w:cs="Consolas" w:eastAsia="Consolas" w:hAnsi="Consolas"/>
          <w:color w:val="444444"/>
          <w:sz w:val="18"/>
          <w:szCs w:val="18"/>
        </w:rPr>
        <w:t xml:space="preserve">UPDATE evidence SET status='APPROVED'</w:t>
      </w:r>
      <w:r>
        <w:t xml:space="preserve"> directo basta.</w:t>
      </w:r>
    </w:p>
    <w:p>
      <w:pPr>
        <w:spacing w:after="120" w:line="276"/>
      </w:pPr>
      <w:r>
        <w:rPr>
          <w:b/>
          <w:bCs/>
        </w:rPr>
        <w:t xml:space="preserve">Consecuencia: </w:t>
      </w:r>
      <w:r>
        <w:t xml:space="preserve">en una plataforma cuyo producto es el impacto verificado para reporting ESRS, cualquier participante puede fabricarse impacto certificado. Es el riesgo reputacional más alto del sistema.</w:t>
      </w:r>
    </w:p>
    <w:p>
      <w:pPr>
        <w:pBdr>
          <w:bottom w:val="single" w:color="CCCCCC" w:sz="6"/>
        </w:pBdr>
        <w:spacing w:after="160" w:before="80"/>
      </w:pPr>
      <w:r>
        <w:t xml:space="preserve"/>
      </w:r>
    </w:p>
    <w:p>
      <w:pPr>
        <w:pStyle w:val="Heading2"/>
        <w:spacing w:after="100" w:before="240"/>
      </w:pPr>
      <w:r>
        <w:rPr>
          <w:b/>
          <w:bCs/>
          <w:color w:val="1F2A4D"/>
        </w:rPr>
        <w:t xml:space="preserve">2.3  Los KPIs devuelven cifras falsas sin avisar</w:t>
      </w:r>
    </w:p>
    <w:p>
      <w:pPr>
        <w:spacing w:after="120" w:line="276"/>
      </w:pPr>
      <w:r>
        <w:rPr>
          <w:b/>
          <w:bCs/>
          <w:color w:val="B3261E"/>
        </w:rPr>
        <w:t xml:space="preserve">CRÍTICO</w:t>
      </w:r>
      <w:r>
        <w:t xml:space="preserve">   ·   </w:t>
      </w:r>
      <w:r>
        <w:rPr>
          <w:rFonts w:ascii="Consolas" w:cs="Consolas" w:eastAsia="Consolas" w:hAnsi="Consolas"/>
          <w:color w:val="444444"/>
          <w:sz w:val="18"/>
          <w:szCs w:val="18"/>
        </w:rPr>
        <w:t xml:space="preserve">packages/lib/src/kpi/aggregate.ts:142-145</w:t>
      </w:r>
      <w:r>
        <w:t xml:space="preserve">  +  </w:t>
      </w:r>
      <w:r>
        <w:rPr>
          <w:rFonts w:ascii="Consolas" w:cs="Consolas" w:eastAsia="Consolas" w:hAnsi="Consolas"/>
          <w:color w:val="444444"/>
          <w:sz w:val="18"/>
          <w:szCs w:val="18"/>
        </w:rPr>
        <w:t xml:space="preserve">supabase/config.toml:16</w:t>
      </w:r>
    </w:p>
    <w:p>
      <w:pPr>
        <w:spacing w:after="120" w:line="276"/>
      </w:pPr>
      <w:r>
        <w:t xml:space="preserve">La consulta que alimenta todo el reporting de impacto pide </w:t>
      </w:r>
      <w:r>
        <w:rPr>
          <w:b/>
          <w:bCs/>
        </w:rPr>
        <w:t xml:space="preserve">todas las evidencias aprobadas de todas las marcas</w:t>
      </w:r>
      <w:r>
        <w:t xml:space="preserve">, sin filtro de marca ni de campaña, y filtra por campaña después en JavaScript. Y </w:t>
      </w:r>
      <w:r>
        <w:rPr>
          <w:rFonts w:ascii="Consolas" w:cs="Consolas" w:eastAsia="Consolas" w:hAnsi="Consolas"/>
          <w:color w:val="444444"/>
          <w:sz w:val="18"/>
          <w:szCs w:val="18"/>
        </w:rPr>
        <w:t xml:space="preserve">config.toml</w:t>
      </w:r>
      <w:r>
        <w:t xml:space="preserve"> fija </w:t>
      </w:r>
      <w:r>
        <w:rPr>
          <w:rFonts w:ascii="Consolas" w:cs="Consolas" w:eastAsia="Consolas" w:hAnsi="Consolas"/>
          <w:color w:val="444444"/>
          <w:sz w:val="18"/>
          <w:szCs w:val="18"/>
        </w:rPr>
        <w:t xml:space="preserve">max_rows = 1000</w:t>
      </w:r>
      <w:r>
        <w:t xml:space="preserve">. No hay ni un solo </w:t>
      </w:r>
      <w:r>
        <w:rPr>
          <w:rFonts w:ascii="Consolas" w:cs="Consolas" w:eastAsia="Consolas" w:hAnsi="Consolas"/>
          <w:color w:val="444444"/>
          <w:sz w:val="18"/>
          <w:szCs w:val="18"/>
        </w:rPr>
        <w:t xml:space="preserve">.range()</w:t>
      </w:r>
      <w:r>
        <w:t xml:space="preserve"> en el proyecto que controle el truncamiento.</w:t>
      </w:r>
    </w:p>
    <w:p>
      <w:pPr>
        <w:spacing w:after="120" w:line="276"/>
      </w:pPr>
      <w:r>
        <w:rPr>
          <w:b/>
          <w:bCs/>
        </w:rPr>
        <w:t xml:space="preserve">Consecuencia: </w:t>
      </w:r>
      <w:r>
        <w:t xml:space="preserve">a partir de 1.000 evidencias aprobadas en el conjunto de la plataforma, PostgREST trunca la respuesta y los KPIs empiezan a devolver cifras por debajo de la realidad —o cero— </w:t>
      </w:r>
      <w:r>
        <w:rPr>
          <w:b/>
          <w:bCs/>
        </w:rPr>
        <w:t xml:space="preserve">sin error, sin log, sin ninguna señal</w:t>
      </w:r>
      <w:r>
        <w:t xml:space="preserve">. Un cliente firmaría un informe ESRS con datos incorrectos y nadie se enteraría. Para un producto que vende reporting auditable, es el fallo más grave del análisis.</w:t>
      </w:r>
    </w:p>
    <w:p>
      <w:pPr>
        <w:pBdr>
          <w:bottom w:val="single" w:color="CCCCCC" w:sz="6"/>
        </w:pBdr>
        <w:spacing w:after="160" w:before="80"/>
      </w:pPr>
      <w:r>
        <w:t xml:space="preserve"/>
      </w:r>
    </w:p>
    <w:p>
      <w:pPr>
        <w:pStyle w:val="Heading2"/>
        <w:spacing w:after="100" w:before="240"/>
      </w:pPr>
      <w:r>
        <w:rPr>
          <w:b/>
          <w:bCs/>
          <w:color w:val="1F2A4D"/>
        </w:rPr>
        <w:t xml:space="preserve">2.4  Cinco vías más de fuga entre marcas y de datos corruptos</w:t>
      </w:r>
    </w:p>
    <w:p>
      <w:pPr>
        <w:spacing w:after="120" w:line="276"/>
      </w:pPr>
      <w:r>
        <w:rPr>
          <w:b/>
          <w:bCs/>
          <w:color w:val="B3261E"/>
        </w:rPr>
        <w:t xml:space="preserve">CRÍTICO</w:t>
      </w:r>
      <w:r>
        <w:t xml:space="preserve">   ·   verificadas una a una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50"/>
        <w:gridCol w:w="2600"/>
        <w:gridCol w:w="3710"/>
      </w:tblGrid>
      <w:tr>
        <w:trPr>
          <w:tblHeader/>
        </w:trPr>
        <w:tc>
          <w:tcPr>
            <w:tcW w:type="dxa" w:w="305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Vía</w:t>
            </w:r>
          </w:p>
        </w:tc>
        <w:tc>
          <w:tcPr>
            <w:tcW w:type="dxa" w:w="26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Fichero</w:t>
            </w:r>
          </w:p>
        </w:tc>
        <w:tc>
          <w:tcPr>
            <w:tcW w:type="dxa" w:w="371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Qué permite</w:t>
            </w:r>
          </w:p>
        </w:tc>
      </w:tr>
      <w:tr>
        <w:tc>
          <w:tcPr>
            <w:tcW w:type="dxa" w:w="305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submitEvidence no comprueba inscripción, marca ni ámbito</w:t>
            </w:r>
          </w:p>
        </w:tc>
        <w:tc>
          <w:tcPr>
            <w:tcW w:type="dxa" w:w="26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rFonts w:ascii="Consolas" w:cs="Consolas" w:eastAsia="Consolas" w:hAnsi="Consolas"/>
                <w:color w:val="444444"/>
                <w:sz w:val="18"/>
                <w:szCs w:val="18"/>
              </w:rPr>
              <w:t xml:space="preserve">(app)/actions.ts:118-143</w:t>
            </w:r>
          </w:p>
        </w:tc>
        <w:tc>
          <w:tcPr>
            <w:tcW w:type="dxa" w:w="371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Inyectar evidencias en campañas de otra empresa; un no-empleado escapa de su ámbito</w:t>
            </w:r>
          </w:p>
        </w:tc>
      </w:tr>
      <w:tr>
        <w:tc>
          <w:tcPr>
            <w:tcW w:type="dxa" w:w="305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ensureMembership resucita membresías REVOKED</w:t>
            </w:r>
          </w:p>
        </w:tc>
        <w:tc>
          <w:tcPr>
            <w:tcW w:type="dxa" w:w="26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rFonts w:ascii="Consolas" w:cs="Consolas" w:eastAsia="Consolas" w:hAnsi="Consolas"/>
                <w:color w:val="444444"/>
                <w:sz w:val="18"/>
                <w:szCs w:val="18"/>
              </w:rPr>
              <w:t xml:space="preserve">c/actions.ts:27-48</w:t>
            </w:r>
          </w:p>
        </w:tc>
        <w:tc>
          <w:tcPr>
            <w:tcW w:type="dxa" w:w="371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Un usuario bloqueado recupera acceso; quien se dio de baja por RGPD vuelve a ser miembro activo</w:t>
            </w:r>
          </w:p>
        </w:tc>
      </w:tr>
      <w:tr>
        <w:tc>
          <w:tcPr>
            <w:tcW w:type="dxa" w:w="305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kpis.csv no comprueba la propiedad de la campaña</w:t>
            </w:r>
          </w:p>
        </w:tc>
        <w:tc>
          <w:tcPr>
            <w:tcW w:type="dxa" w:w="26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rFonts w:ascii="Consolas" w:cs="Consolas" w:eastAsia="Consolas" w:hAnsi="Consolas"/>
                <w:color w:val="444444"/>
                <w:sz w:val="18"/>
                <w:szCs w:val="18"/>
              </w:rPr>
              <w:t xml:space="preserve">export/kpis.csv/route.ts:12-17</w:t>
            </w:r>
          </w:p>
        </w:tc>
        <w:tc>
          <w:tcPr>
            <w:tcW w:type="dxa" w:w="371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Un admin descarga los KPIs de una campaña de otra marca (impacto.csv sí lo comprueba)</w:t>
            </w:r>
          </w:p>
        </w:tc>
      </w:tr>
      <w:tr>
        <w:tc>
          <w:tcPr>
            <w:tcW w:type="dxa" w:w="305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Cola de Ops sin filtro de marca + BRAND_ADMIN en OPS_ROLES</w:t>
            </w:r>
          </w:p>
        </w:tc>
        <w:tc>
          <w:tcPr>
            <w:tcW w:type="dxa" w:w="26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rFonts w:ascii="Consolas" w:cs="Consolas" w:eastAsia="Consolas" w:hAnsi="Consolas"/>
                <w:color w:val="444444"/>
                <w:sz w:val="18"/>
                <w:szCs w:val="18"/>
              </w:rPr>
              <w:t xml:space="preserve">ops/queue/page.tsx:24-30</w:t>
            </w:r>
          </w:p>
        </w:tc>
        <w:tc>
          <w:tcPr>
            <w:tcW w:type="dxa" w:w="371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Cualquier admin ve nombres, emails y fotos de los voluntarios de las demás marcas</w:t>
            </w:r>
          </w:p>
        </w:tc>
      </w:tr>
      <w:tr>
        <w:tc>
          <w:tcPr>
            <w:tcW w:type="dxa" w:w="305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audit_log acepta INSERT con with check (true) + permiso a anon</w:t>
            </w:r>
          </w:p>
        </w:tc>
        <w:tc>
          <w:tcPr>
            <w:tcW w:type="dxa" w:w="26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rFonts w:ascii="Consolas" w:cs="Consolas" w:eastAsia="Consolas" w:hAnsi="Consolas"/>
                <w:color w:val="444444"/>
                <w:sz w:val="18"/>
                <w:szCs w:val="18"/>
              </w:rPr>
              <w:t xml:space="preserve">rls.sql:293</w:t>
            </w:r>
          </w:p>
        </w:tc>
        <w:tc>
          <w:tcPr>
            <w:tcW w:type="dxa" w:w="371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El registro de auditoría es falsificable por cualquiera, incluso sin autenticarse</w:t>
            </w:r>
          </w:p>
        </w:tc>
      </w:tr>
    </w:tbl>
    <w:p>
      <w:pPr>
        <w:spacing w:after="120" w:before="120"/>
      </w:pPr>
      <w:r>
        <w:t xml:space="preserve">A esto se suma que la migración </w:t>
      </w:r>
      <w:r>
        <w:rPr>
          <w:rFonts w:ascii="Consolas" w:cs="Consolas" w:eastAsia="Consolas" w:hAnsi="Consolas"/>
          <w:color w:val="444444"/>
          <w:sz w:val="18"/>
          <w:szCs w:val="18"/>
        </w:rPr>
        <w:t xml:space="preserve">20260603130000_fix_public_schema_grants.sql</w:t>
      </w:r>
      <w:r>
        <w:t xml:space="preserve"> concede </w:t>
      </w:r>
      <w:r>
        <w:rPr>
          <w:rFonts w:ascii="Consolas" w:cs="Consolas" w:eastAsia="Consolas" w:hAnsi="Consolas"/>
          <w:color w:val="444444"/>
          <w:sz w:val="18"/>
          <w:szCs w:val="18"/>
        </w:rPr>
        <w:t xml:space="preserve">GRANT ALL</w:t>
      </w:r>
      <w:r>
        <w:t xml:space="preserve"> sobre todas las tablas y funciones del esquema </w:t>
      </w:r>
      <w:r>
        <w:rPr>
          <w:rFonts w:ascii="Consolas" w:cs="Consolas" w:eastAsia="Consolas" w:hAnsi="Consolas"/>
          <w:color w:val="444444"/>
          <w:sz w:val="18"/>
          <w:szCs w:val="18"/>
        </w:rPr>
        <w:t xml:space="preserve">public</w:t>
      </w:r>
      <w:r>
        <w:t xml:space="preserve"> a </w:t>
      </w:r>
      <w:r>
        <w:rPr>
          <w:rFonts w:ascii="Consolas" w:cs="Consolas" w:eastAsia="Consolas" w:hAnsi="Consolas"/>
          <w:color w:val="444444"/>
          <w:sz w:val="18"/>
          <w:szCs w:val="18"/>
        </w:rPr>
        <w:t xml:space="preserve">anon</w:t>
      </w:r>
      <w:r>
        <w:t xml:space="preserve"> y </w:t>
      </w:r>
      <w:r>
        <w:rPr>
          <w:rFonts w:ascii="Consolas" w:cs="Consolas" w:eastAsia="Consolas" w:hAnsi="Consolas"/>
          <w:color w:val="444444"/>
          <w:sz w:val="18"/>
          <w:szCs w:val="18"/>
        </w:rPr>
        <w:t xml:space="preserve">authenticated</w:t>
      </w:r>
      <w:r>
        <w:t xml:space="preserve">, y es posterior al </w:t>
      </w:r>
      <w:r>
        <w:rPr>
          <w:rFonts w:ascii="Consolas" w:cs="Consolas" w:eastAsia="Consolas" w:hAnsi="Consolas"/>
          <w:color w:val="444444"/>
          <w:sz w:val="18"/>
          <w:szCs w:val="18"/>
        </w:rPr>
        <w:t xml:space="preserve">revoke</w:t>
      </w:r>
      <w:r>
        <w:t xml:space="preserve"> de </w:t>
      </w:r>
      <w:r>
        <w:rPr>
          <w:rFonts w:ascii="Consolas" w:cs="Consolas" w:eastAsia="Consolas" w:hAnsi="Consolas"/>
          <w:color w:val="444444"/>
          <w:sz w:val="18"/>
          <w:szCs w:val="18"/>
        </w:rPr>
        <w:t xml:space="preserve">audit_log</w:t>
      </w:r>
      <w:r>
        <w:t xml:space="preserve">, por lo que lo anula.</w:t>
      </w:r>
    </w:p>
    <w:p>
      <w:pPr>
        <w:pBdr>
          <w:bottom w:val="single" w:color="CCCCCC" w:sz="6"/>
        </w:pBdr>
        <w:spacing w:after="160" w:before="80"/>
      </w:pPr>
      <w:r>
        <w:t xml:space="preserve"/>
      </w:r>
    </w:p>
    <w:p>
      <w:pPr>
        <w:pStyle w:val="Heading2"/>
        <w:spacing w:after="100" w:before="240"/>
      </w:pPr>
      <w:r>
        <w:rPr>
          <w:b/>
          <w:bCs/>
          <w:color w:val="1F2A4D"/>
        </w:rPr>
        <w:t xml:space="preserve">2.5  El diferencial del producto no existe</w:t>
      </w:r>
    </w:p>
    <w:p>
      <w:pPr>
        <w:spacing w:after="120" w:line="276"/>
      </w:pPr>
      <w:r>
        <w:rPr>
          <w:b/>
          <w:bCs/>
          <w:color w:val="B3261E"/>
        </w:rPr>
        <w:t xml:space="preserve">CRÍTICO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180"/>
        <w:gridCol w:w="5180"/>
      </w:tblGrid>
      <w:tr>
        <w:trPr>
          <w:tblHeader/>
        </w:trPr>
        <w:tc>
          <w:tcPr>
            <w:tcW w:type="dxa" w:w="418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Prometido en el RFP</w:t>
            </w:r>
          </w:p>
        </w:tc>
        <w:tc>
          <w:tcPr>
            <w:tcW w:type="dxa" w:w="518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Realidad en el código</w:t>
            </w:r>
          </w:p>
        </w:tc>
      </w:tr>
      <w:tr>
        <w:tc>
          <w:tcPr>
            <w:tcW w:type="dxa" w:w="4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Validación de evidencias con IA (Módulo B)</w:t>
            </w:r>
          </w:p>
        </w:tc>
        <w:tc>
          <w:tcPr>
            <w:tcW w:type="dxa" w:w="5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B3261E"/>
              </w:rPr>
              <w:t xml:space="preserve">Cero dependencias de IA. Dos botones manuales</w:t>
            </w:r>
          </w:p>
        </w:tc>
      </w:tr>
      <w:tr>
        <w:tc>
          <w:tcPr>
            <w:tcW w:type="dxa" w:w="4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Motor de contenido con LLM + generative media (Módulo C)</w:t>
            </w:r>
          </w:p>
        </w:tc>
        <w:tc>
          <w:tcPr>
            <w:tcW w:type="dxa" w:w="5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B3261E"/>
              </w:rPr>
              <w:t xml:space="preserve">Plantilla de texto fija, etiquetada “stub” en el código. Nunca genera imagen</w:t>
            </w:r>
          </w:p>
        </w:tc>
      </w:tr>
      <w:tr>
        <w:tc>
          <w:tcPr>
            <w:tcW w:type="dxa" w:w="4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Antifraude, detección de duplicados</w:t>
            </w:r>
          </w:p>
        </w:tc>
        <w:tc>
          <w:tcPr>
            <w:tcW w:type="dxa" w:w="5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B3261E"/>
              </w:rPr>
              <w:t xml:space="preserve">No existe. FRAUD_BLOCKED nunca se asigna</w:t>
            </w:r>
          </w:p>
        </w:tc>
      </w:tr>
      <w:tr>
        <w:tc>
          <w:tcPr>
            <w:tcW w:type="dxa" w:w="4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KPIs calculados desde la evidencia</w:t>
            </w:r>
          </w:p>
        </w:tc>
        <w:tc>
          <w:tcPr>
            <w:tcW w:type="dxa" w:w="5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B3261E"/>
              </w:rPr>
              <w:t xml:space="preserve">Sumas de números tecleados a mano por usuario y admin</w:t>
            </w:r>
          </w:p>
        </w:tc>
      </w:tr>
      <w:tr>
        <w:tc>
          <w:tcPr>
            <w:tcW w:type="dxa" w:w="4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Reporting ESRS automatizado</w:t>
            </w:r>
          </w:p>
        </w:tc>
        <w:tc>
          <w:tcPr>
            <w:tcW w:type="dxa" w:w="5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B3261E"/>
              </w:rPr>
              <w:t xml:space="preserve">Catálogo para elegir a mano; el PDF lo envía Kynda Ops manualmente el día +10</w:t>
            </w:r>
          </w:p>
        </w:tc>
      </w:tr>
      <w:tr>
        <w:tc>
          <w:tcPr>
            <w:tcW w:type="dxa" w:w="4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White-label multi-tenant</w:t>
            </w:r>
          </w:p>
        </w:tc>
        <w:tc>
          <w:tcPr>
            <w:tcW w:type="dxa" w:w="518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B3261E"/>
              </w:rPr>
              <w:t xml:space="preserve">Logo de Kynda incrustado; colores estáticos; la tabla brand no tiene columnas de branding</w:t>
            </w:r>
          </w:p>
        </w:tc>
      </w:tr>
    </w:tbl>
    <w:p>
      <w:pPr>
        <w:spacing w:after="120" w:before="120"/>
      </w:pPr>
      <w:r>
        <w:t xml:space="preserve">La prueba documental más clara: la tabla </w:t>
      </w:r>
      <w:r>
        <w:rPr>
          <w:rFonts w:ascii="Consolas" w:cs="Consolas" w:eastAsia="Consolas" w:hAnsi="Consolas"/>
          <w:color w:val="444444"/>
          <w:sz w:val="18"/>
          <w:szCs w:val="18"/>
        </w:rPr>
        <w:t xml:space="preserve">ai_review_run</w:t>
      </w:r>
      <w:r>
        <w:t xml:space="preserve"> existe en el esquema, con RLS e índices mantenidos, y tiene </w:t>
      </w:r>
      <w:r>
        <w:rPr>
          <w:b/>
          <w:bCs/>
        </w:rPr>
        <w:t xml:space="preserve">cero referencias en todo el código</w:t>
      </w:r>
      <w:r>
        <w:t xml:space="preserve">. La IA se modeló y nunca se construyó. Igual que </w:t>
      </w:r>
      <w:r>
        <w:rPr>
          <w:rFonts w:ascii="Consolas" w:cs="Consolas" w:eastAsia="Consolas" w:hAnsi="Consolas"/>
          <w:color w:val="444444"/>
          <w:sz w:val="18"/>
          <w:szCs w:val="18"/>
        </w:rPr>
        <w:t xml:space="preserve">notification</w:t>
      </w:r>
      <w:r>
        <w:t xml:space="preserve">, </w:t>
      </w:r>
      <w:r>
        <w:rPr>
          <w:rFonts w:ascii="Consolas" w:cs="Consolas" w:eastAsia="Consolas" w:hAnsi="Consolas"/>
          <w:color w:val="444444"/>
          <w:sz w:val="18"/>
          <w:szCs w:val="18"/>
        </w:rPr>
        <w:t xml:space="preserve">share_event</w:t>
      </w:r>
      <w:r>
        <w:t xml:space="preserve"> y </w:t>
      </w:r>
      <w:r>
        <w:rPr>
          <w:rFonts w:ascii="Consolas" w:cs="Consolas" w:eastAsia="Consolas" w:hAnsi="Consolas"/>
          <w:color w:val="444444"/>
          <w:sz w:val="18"/>
          <w:szCs w:val="18"/>
        </w:rPr>
        <w:t xml:space="preserve">brand_plan</w:t>
      </w:r>
      <w:r>
        <w:t xml:space="preserve">.</w:t>
      </w:r>
    </w:p>
    <w:p>
      <w:r>
        <w:br w:type="page"/>
      </w:r>
    </w:p>
    <w:p>
      <w:pPr>
        <w:pStyle w:val="Heading1"/>
        <w:spacing w:after="140" w:before="320"/>
      </w:pPr>
      <w:r>
        <w:rPr>
          <w:b/>
          <w:bCs/>
          <w:color w:val="1F2A4D"/>
        </w:rPr>
        <w:t xml:space="preserve">3. Puntos débiles estructurales</w:t>
      </w:r>
    </w:p>
    <w:p>
      <w:pPr>
        <w:pStyle w:val="Heading3"/>
        <w:spacing w:after="60" w:before="180"/>
      </w:pPr>
      <w:r>
        <w:rPr>
          <w:b/>
          <w:bCs/>
          <w:color w:val="1F2A4D"/>
        </w:rPr>
        <w:t xml:space="preserve">3.1  La regla arquitectónica central está incumplida y documentada como si se cumpliera</w:t>
      </w:r>
    </w:p>
    <w:p>
      <w:pPr>
        <w:spacing w:after="120" w:line="276"/>
      </w:pPr>
      <w:r>
        <w:t xml:space="preserve">El </w:t>
      </w:r>
      <w:r>
        <w:rPr>
          <w:rFonts w:ascii="Consolas" w:cs="Consolas" w:eastAsia="Consolas" w:hAnsi="Consolas"/>
          <w:color w:val="444444"/>
          <w:sz w:val="18"/>
          <w:szCs w:val="18"/>
        </w:rPr>
        <w:t xml:space="preserve">README.md:44</w:t>
      </w:r>
      <w:r>
        <w:t xml:space="preserve"> afirma que </w:t>
      </w:r>
      <w:r>
        <w:rPr>
          <w:rFonts w:ascii="Consolas" w:cs="Consolas" w:eastAsia="Consolas" w:hAnsi="Consolas"/>
          <w:color w:val="444444"/>
          <w:sz w:val="18"/>
          <w:szCs w:val="18"/>
        </w:rPr>
        <w:t xml:space="preserve">packages/lib</w:t>
      </w:r>
      <w:r>
        <w:t xml:space="preserve"> es “el único sitio que habla con la base de datos”. La realidad: </w:t>
      </w:r>
      <w:r>
        <w:rPr>
          <w:rFonts w:ascii="Consolas" w:cs="Consolas" w:eastAsia="Consolas" w:hAnsi="Consolas"/>
          <w:color w:val="444444"/>
          <w:sz w:val="18"/>
          <w:szCs w:val="18"/>
        </w:rPr>
        <w:t xml:space="preserve">packages/lib</w:t>
      </w:r>
      <w:r>
        <w:t xml:space="preserve"> tiene 1.367 líneas, y </w:t>
      </w:r>
      <w:r>
        <w:rPr>
          <w:rFonts w:ascii="Consolas" w:cs="Consolas" w:eastAsia="Consolas" w:hAnsi="Consolas"/>
          <w:color w:val="444444"/>
          <w:sz w:val="18"/>
          <w:szCs w:val="18"/>
        </w:rPr>
        <w:t xml:space="preserve">apps/web/lib/db.ts</w:t>
      </w:r>
      <w:r>
        <w:t xml:space="preserve"> tiene </w:t>
      </w:r>
      <w:r>
        <w:rPr>
          <w:b/>
          <w:bCs/>
        </w:rPr>
        <w:t xml:space="preserve">1.940 líneas de consultas</w:t>
      </w:r>
      <w:r>
        <w:t xml:space="preserve">, más consultas embebidas en los 9 ficheros de server actions. Como casi todo el acceso usa </w:t>
      </w:r>
      <w:r>
        <w:rPr>
          <w:rFonts w:ascii="Consolas" w:cs="Consolas" w:eastAsia="Consolas" w:hAnsi="Consolas"/>
          <w:color w:val="444444"/>
          <w:sz w:val="18"/>
          <w:szCs w:val="18"/>
        </w:rPr>
        <w:t xml:space="preserve">service_role</w:t>
      </w:r>
      <w:r>
        <w:t xml:space="preserve"> (que ignora la seguridad de fila), la RLS —que está bien escrita— casi nunca protege el camino real. Toda la autorización recae en código de aplicación… que es justo donde están los agujeros del punto 2.</w:t>
      </w:r>
    </w:p>
    <w:p>
      <w:pPr>
        <w:pStyle w:val="Heading3"/>
        <w:spacing w:after="60" w:before="180"/>
      </w:pPr>
      <w:r>
        <w:rPr>
          <w:b/>
          <w:bCs/>
          <w:color w:val="1F2A4D"/>
        </w:rPr>
        <w:t xml:space="preserve">3.2  La seguridad de tipos es aparente, no real</w:t>
      </w:r>
    </w:p>
    <w:p>
      <w:pPr>
        <w:pStyle w:val="ListParagraph"/>
        <w:numPr>
          <w:ilvl w:val="0"/>
          <w:numId w:val="2"/>
        </w:numPr>
        <w:spacing w:after="60" w:line="264"/>
      </w:pPr>
      <w:r>
        <w:rPr>
          <w:rFonts w:ascii="Consolas" w:cs="Consolas" w:eastAsia="Consolas" w:hAnsi="Consolas"/>
          <w:color w:val="444444"/>
          <w:sz w:val="18"/>
          <w:szCs w:val="18"/>
        </w:rPr>
        <w:t xml:space="preserve">tsconfig</w:t>
      </w:r>
      <w:r>
        <w:t xml:space="preserve"> es estricto (</w:t>
      </w:r>
      <w:r>
        <w:rPr>
          <w:rFonts w:ascii="Consolas" w:cs="Consolas" w:eastAsia="Consolas" w:hAnsi="Consolas"/>
          <w:color w:val="444444"/>
          <w:sz w:val="18"/>
          <w:szCs w:val="18"/>
        </w:rPr>
        <w:t xml:space="preserve">strict</w:t>
      </w:r>
      <w:r>
        <w:t xml:space="preserve">, </w:t>
      </w:r>
      <w:r>
        <w:rPr>
          <w:rFonts w:ascii="Consolas" w:cs="Consolas" w:eastAsia="Consolas" w:hAnsi="Consolas"/>
          <w:color w:val="444444"/>
          <w:sz w:val="18"/>
          <w:szCs w:val="18"/>
        </w:rPr>
        <w:t xml:space="preserve">noUncheckedIndexedAccess</w:t>
      </w:r>
      <w:r>
        <w:t xml:space="preserve">). Cero </w:t>
      </w:r>
      <w:r>
        <w:rPr>
          <w:rFonts w:ascii="Consolas" w:cs="Consolas" w:eastAsia="Consolas" w:hAnsi="Consolas"/>
          <w:color w:val="444444"/>
          <w:sz w:val="18"/>
          <w:szCs w:val="18"/>
        </w:rPr>
        <w:t xml:space="preserve">any</w:t>
      </w:r>
      <w:r>
        <w:t xml:space="preserve">, cero </w:t>
      </w:r>
      <w:r>
        <w:rPr>
          <w:rFonts w:ascii="Consolas" w:cs="Consolas" w:eastAsia="Consolas" w:hAnsi="Consolas"/>
          <w:color w:val="444444"/>
          <w:sz w:val="18"/>
          <w:szCs w:val="18"/>
        </w:rPr>
        <w:t xml:space="preserve">@ts-ignore</w:t>
      </w:r>
      <w:r>
        <w:t xml:space="preserve">. Impecable sobre el papel.</w:t>
      </w:r>
    </w:p>
    <w:p>
      <w:pPr>
        <w:pStyle w:val="ListParagraph"/>
        <w:numPr>
          <w:ilvl w:val="0"/>
          <w:numId w:val="2"/>
        </w:numPr>
        <w:spacing w:after="60" w:line="264"/>
      </w:pPr>
      <w:r>
        <w:t xml:space="preserve">Pero </w:t>
      </w:r>
      <w:r>
        <w:rPr>
          <w:b/>
          <w:bCs/>
        </w:rPr>
        <w:t xml:space="preserve">no existen tipos generados de Supabase</w:t>
      </w:r>
      <w:r>
        <w:t xml:space="preserve">: los ~25 interfaces de </w:t>
      </w:r>
      <w:r>
        <w:rPr>
          <w:rFonts w:ascii="Consolas" w:cs="Consolas" w:eastAsia="Consolas" w:hAnsi="Consolas"/>
          <w:color w:val="444444"/>
          <w:sz w:val="18"/>
          <w:szCs w:val="18"/>
        </w:rPr>
        <w:t xml:space="preserve">db.ts</w:t>
      </w:r>
      <w:r>
        <w:t xml:space="preserve"> están escritos a mano y sostenidos por </w:t>
      </w:r>
      <w:r>
        <w:rPr>
          <w:b/>
          <w:bCs/>
        </w:rPr>
        <w:t xml:space="preserve">50 </w:t>
      </w:r>
      <w:r>
        <w:rPr>
          <w:rFonts w:ascii="Consolas" w:cs="Consolas" w:eastAsia="Consolas" w:hAnsi="Consolas"/>
          <w:color w:val="444444"/>
          <w:sz w:val="18"/>
          <w:szCs w:val="18"/>
        </w:rPr>
        <w:t xml:space="preserve">as unknown as</w:t>
      </w:r>
      <w:r>
        <w:t xml:space="preserve">.</w:t>
      </w:r>
    </w:p>
    <w:p>
      <w:pPr>
        <w:pStyle w:val="ListParagraph"/>
        <w:numPr>
          <w:ilvl w:val="0"/>
          <w:numId w:val="2"/>
        </w:numPr>
        <w:spacing w:after="60" w:line="264"/>
      </w:pPr>
      <w:r>
        <w:rPr>
          <w:rFonts w:ascii="Consolas" w:cs="Consolas" w:eastAsia="Consolas" w:hAnsi="Consolas"/>
          <w:color w:val="444444"/>
          <w:sz w:val="18"/>
          <w:szCs w:val="18"/>
        </w:rPr>
        <w:t xml:space="preserve">next.config.mjs:22,25</w:t>
      </w:r>
      <w:r>
        <w:t xml:space="preserve"> desactiva </w:t>
      </w:r>
      <w:r>
        <w:rPr>
          <w:rFonts w:ascii="Consolas" w:cs="Consolas" w:eastAsia="Consolas" w:hAnsi="Consolas"/>
          <w:color w:val="444444"/>
          <w:sz w:val="18"/>
          <w:szCs w:val="18"/>
        </w:rPr>
        <w:t xml:space="preserve">ignoreBuildErrors</w:t>
      </w:r>
      <w:r>
        <w:t xml:space="preserve"> e </w:t>
      </w:r>
      <w:r>
        <w:rPr>
          <w:rFonts w:ascii="Consolas" w:cs="Consolas" w:eastAsia="Consolas" w:hAnsi="Consolas"/>
          <w:color w:val="444444"/>
          <w:sz w:val="18"/>
          <w:szCs w:val="18"/>
        </w:rPr>
        <w:t xml:space="preserve">ignoreDuringBuilds</w:t>
      </w:r>
      <w:r>
        <w:t xml:space="preserve">: </w:t>
      </w:r>
      <w:r>
        <w:rPr>
          <w:b/>
          <w:bCs/>
        </w:rPr>
        <w:t xml:space="preserve">ni los errores de tipos ni el lint bloquean un despliegue</w:t>
      </w:r>
      <w:r>
        <w:t xml:space="preserve">.</w:t>
      </w:r>
    </w:p>
    <w:p>
      <w:pPr>
        <w:spacing w:after="120" w:line="276"/>
      </w:pPr>
      <w:r>
        <w:t xml:space="preserve">Renombrar una columna en una migración no produce ni un error de compilación: rompe en producción. Es peor que usar </w:t>
      </w:r>
      <w:r>
        <w:rPr>
          <w:rFonts w:ascii="Consolas" w:cs="Consolas" w:eastAsia="Consolas" w:hAnsi="Consolas"/>
          <w:color w:val="444444"/>
          <w:sz w:val="18"/>
          <w:szCs w:val="18"/>
        </w:rPr>
        <w:t xml:space="preserve">any</w:t>
      </w:r>
      <w:r>
        <w:t xml:space="preserve">, porque aparenta rigor. Añadido: no hay ninguna configuración de ESLint, y el job de CI llamado </w:t>
      </w:r>
      <w:r>
        <w:rPr>
          <w:rFonts w:ascii="Consolas" w:cs="Consolas" w:eastAsia="Consolas" w:hAnsi="Consolas"/>
          <w:color w:val="444444"/>
          <w:sz w:val="18"/>
          <w:szCs w:val="18"/>
        </w:rPr>
        <w:t xml:space="preserve">typecheck-lint</w:t>
      </w:r>
      <w:r>
        <w:t xml:space="preserve"> no ejecuta lint.</w:t>
      </w:r>
    </w:p>
    <w:p>
      <w:pPr>
        <w:pStyle w:val="Heading3"/>
        <w:spacing w:after="60" w:before="180"/>
      </w:pPr>
      <w:r>
        <w:rPr>
          <w:b/>
          <w:bCs/>
          <w:color w:val="1F2A4D"/>
        </w:rPr>
        <w:t xml:space="preserve">3.3  Operaciones críticas sin transacción ni comprobación de errores</w:t>
      </w:r>
    </w:p>
    <w:p>
      <w:pPr>
        <w:spacing w:after="120" w:line="276"/>
      </w:pPr>
      <w:r>
        <w:rPr>
          <w:rFonts w:ascii="Consolas" w:cs="Consolas" w:eastAsia="Consolas" w:hAnsi="Consolas"/>
          <w:color w:val="444444"/>
          <w:sz w:val="18"/>
          <w:szCs w:val="18"/>
        </w:rPr>
        <w:t xml:space="preserve">submitEvidence</w:t>
      </w:r>
      <w:r>
        <w:t xml:space="preserve"> son 7 pasos sin transacción, y los pasos 4 a 7 no comprueban el error:</w:t>
      </w:r>
    </w:p>
    <w:p>
      <w:pPr>
        <w:pStyle w:val="ListParagraph"/>
        <w:numPr>
          <w:ilvl w:val="0"/>
          <w:numId w:val="2"/>
        </w:numPr>
        <w:spacing w:after="60" w:line="264"/>
      </w:pPr>
      <w:r>
        <w:t xml:space="preserve">Si falla el insert en </w:t>
      </w:r>
      <w:r>
        <w:rPr>
          <w:rFonts w:ascii="Consolas" w:cs="Consolas" w:eastAsia="Consolas" w:hAnsi="Consolas"/>
          <w:color w:val="444444"/>
          <w:sz w:val="18"/>
          <w:szCs w:val="18"/>
        </w:rPr>
        <w:t xml:space="preserve">validation</w:t>
      </w:r>
      <w:r>
        <w:t xml:space="preserve">, la evidencia queda enviada, el intento consumido y </w:t>
      </w:r>
      <w:r>
        <w:rPr>
          <w:b/>
          <w:bCs/>
        </w:rPr>
        <w:t xml:space="preserve">nunca aparece en la cola de validación</w:t>
      </w:r>
      <w:r>
        <w:t xml:space="preserve">. La función devuelve ok. Evidencia huérfana permanente.</w:t>
      </w:r>
    </w:p>
    <w:p>
      <w:pPr>
        <w:pStyle w:val="ListParagraph"/>
        <w:numPr>
          <w:ilvl w:val="0"/>
          <w:numId w:val="2"/>
        </w:numPr>
        <w:spacing w:after="60" w:line="264"/>
      </w:pPr>
      <w:r>
        <w:t xml:space="preserve">Si falla una foto a mitad del bucle, la evidencia ya existe: intento gastado, fotos a medias, sin rollback.</w:t>
      </w:r>
    </w:p>
    <w:p>
      <w:pPr>
        <w:pStyle w:val="ListParagraph"/>
        <w:numPr>
          <w:ilvl w:val="0"/>
          <w:numId w:val="2"/>
        </w:numPr>
        <w:spacing w:after="60" w:line="264"/>
      </w:pPr>
      <w:r>
        <w:t xml:space="preserve">El error del insert en </w:t>
      </w:r>
      <w:r>
        <w:rPr>
          <w:rFonts w:ascii="Consolas" w:cs="Consolas" w:eastAsia="Consolas" w:hAnsi="Consolas"/>
          <w:color w:val="444444"/>
          <w:sz w:val="18"/>
          <w:szCs w:val="18"/>
        </w:rPr>
        <w:t xml:space="preserve">evidence_media</w:t>
      </w:r>
      <w:r>
        <w:t xml:space="preserve"> tampoco se comprueba: foto en Storage sin fila en BD → invisible para el revisor y para la purga RGPD.</w:t>
      </w:r>
    </w:p>
    <w:p>
      <w:pPr>
        <w:spacing w:after="120" w:line="276"/>
      </w:pPr>
      <w:r>
        <w:t xml:space="preserve">Además, el servidor </w:t>
      </w:r>
      <w:r>
        <w:rPr>
          <w:b/>
          <w:bCs/>
        </w:rPr>
        <w:t xml:space="preserve">no valida ni el tamaño ni el tipo</w:t>
      </w:r>
      <w:r>
        <w:t xml:space="preserve"> de los archivos, y </w:t>
      </w:r>
      <w:r>
        <w:rPr>
          <w:rFonts w:ascii="Consolas" w:cs="Consolas" w:eastAsia="Consolas" w:hAnsi="Consolas"/>
          <w:color w:val="444444"/>
          <w:sz w:val="18"/>
          <w:szCs w:val="18"/>
        </w:rPr>
        <w:t xml:space="preserve">bodySizeLimit</w:t>
      </w:r>
      <w:r>
        <w:t xml:space="preserve"> está en 15 MB cuando Vercel corta en ~4,5 MB: un voluntario que suba 2-3 fotos verá fallar el envío después de haber hecho la acción.</w:t>
      </w:r>
    </w:p>
    <w:p>
      <w:pPr>
        <w:pStyle w:val="Heading3"/>
        <w:spacing w:after="60" w:before="180"/>
      </w:pPr>
      <w:r>
        <w:rPr>
          <w:b/>
          <w:bCs/>
          <w:color w:val="1F2A4D"/>
        </w:rPr>
        <w:t xml:space="preserve">3.4  Aprobar una evidencia no es idempotente</w:t>
      </w:r>
    </w:p>
    <w:p>
      <w:pPr>
        <w:spacing w:after="120" w:line="276"/>
      </w:pPr>
      <w:r>
        <w:t xml:space="preserve">El </w:t>
      </w:r>
      <w:r>
        <w:rPr>
          <w:rFonts w:ascii="Consolas" w:cs="Consolas" w:eastAsia="Consolas" w:hAnsi="Consolas"/>
          <w:color w:val="444444"/>
          <w:sz w:val="18"/>
          <w:szCs w:val="18"/>
        </w:rPr>
        <w:t xml:space="preserve">UPDATE</w:t>
      </w:r>
      <w:r>
        <w:t xml:space="preserve"> de </w:t>
      </w:r>
      <w:r>
        <w:rPr>
          <w:rFonts w:ascii="Consolas" w:cs="Consolas" w:eastAsia="Consolas" w:hAnsi="Consolas"/>
          <w:color w:val="444444"/>
          <w:sz w:val="18"/>
          <w:szCs w:val="18"/>
        </w:rPr>
        <w:t xml:space="preserve">validation</w:t>
      </w:r>
      <w:r>
        <w:t xml:space="preserve"> filtra por estados pendientes, pero su resultado nunca se lee, y los </w:t>
      </w:r>
      <w:r>
        <w:rPr>
          <w:rFonts w:ascii="Consolas" w:cs="Consolas" w:eastAsia="Consolas" w:hAnsi="Consolas"/>
          <w:color w:val="444444"/>
          <w:sz w:val="18"/>
          <w:szCs w:val="18"/>
        </w:rPr>
        <w:t xml:space="preserve">UPDATE</w:t>
      </w:r>
      <w:r>
        <w:t xml:space="preserve"> de </w:t>
      </w:r>
      <w:r>
        <w:rPr>
          <w:rFonts w:ascii="Consolas" w:cs="Consolas" w:eastAsia="Consolas" w:hAnsi="Consolas"/>
          <w:color w:val="444444"/>
          <w:sz w:val="18"/>
          <w:szCs w:val="18"/>
        </w:rPr>
        <w:t xml:space="preserve">evidence</w:t>
      </w:r>
      <w:r>
        <w:t xml:space="preserve"> y </w:t>
      </w:r>
      <w:r>
        <w:rPr>
          <w:rFonts w:ascii="Consolas" w:cs="Consolas" w:eastAsia="Consolas" w:hAnsi="Consolas"/>
          <w:color w:val="444444"/>
          <w:sz w:val="18"/>
          <w:szCs w:val="18"/>
        </w:rPr>
        <w:t xml:space="preserve">action_execution</w:t>
      </w:r>
      <w:r>
        <w:t xml:space="preserve"> se ejecutan siempre. Aprobar una evidencia ya rechazada la deja en APPROVED sin validación aprobada. Hay </w:t>
      </w:r>
      <w:r>
        <w:rPr>
          <w:b/>
          <w:bCs/>
        </w:rPr>
        <w:t xml:space="preserve">tres implementaciones divergentes</w:t>
      </w:r>
      <w:r>
        <w:t xml:space="preserve"> de la misma transacción: aprobar desde Ops genera contenido y refresca la vista del usuario; aprobar desde el panel de marca no hace ninguna de las dos cosas.</w:t>
      </w:r>
    </w:p>
    <w:p>
      <w:pPr>
        <w:pStyle w:val="Heading3"/>
        <w:spacing w:after="60" w:before="180"/>
      </w:pPr>
      <w:r>
        <w:rPr>
          <w:b/>
          <w:bCs/>
          <w:color w:val="1F2A4D"/>
        </w:rPr>
        <w:t xml:space="preserve">3.5  Límites de negocio que se muestran pero no se aplican</w:t>
      </w:r>
    </w:p>
    <w:p>
      <w:pPr>
        <w:spacing w:after="120" w:line="276"/>
      </w:pPr>
      <w:r>
        <w:rPr>
          <w:rFonts w:ascii="Consolas" w:cs="Consolas" w:eastAsia="Consolas" w:hAnsi="Consolas"/>
          <w:color w:val="444444"/>
          <w:sz w:val="18"/>
          <w:szCs w:val="18"/>
        </w:rPr>
        <w:t xml:space="preserve">max_seats</w:t>
      </w:r>
      <w:r>
        <w:t xml:space="preserve"> / plazas por jornada se pintan en la interfaz pero </w:t>
      </w:r>
      <w:r>
        <w:rPr>
          <w:rFonts w:ascii="Consolas" w:cs="Consolas" w:eastAsia="Consolas" w:hAnsi="Consolas"/>
          <w:color w:val="444444"/>
          <w:sz w:val="18"/>
          <w:szCs w:val="18"/>
        </w:rPr>
        <w:t xml:space="preserve">joinAction</w:t>
      </w:r>
      <w:r>
        <w:t xml:space="preserve"> no los comprueba nunca, y no hay restricción en BD. Una jornada con 10 plazas admite 200 inscritos. Igual con los campos del formulario: el servidor acepta cualquier clave con cualquier valor y lo suma a los KPIs certificados.</w:t>
      </w:r>
    </w:p>
    <w:p>
      <w:pPr>
        <w:pStyle w:val="Heading3"/>
        <w:spacing w:after="60" w:before="180"/>
      </w:pPr>
      <w:r>
        <w:rPr>
          <w:b/>
          <w:bCs/>
          <w:color w:val="1F2A4D"/>
        </w:rPr>
        <w:t xml:space="preserve">3.6  Bug silencioso: las acciones nuevas no heredan la configuración de su blueprint</w:t>
      </w:r>
    </w:p>
    <w:p>
      <w:pPr>
        <w:spacing w:after="120" w:line="276"/>
      </w:pPr>
      <w:r>
        <w:rPr>
          <w:rFonts w:ascii="Consolas" w:cs="Consolas" w:eastAsia="Consolas" w:hAnsi="Consolas"/>
          <w:color w:val="444444"/>
          <w:sz w:val="18"/>
          <w:szCs w:val="18"/>
        </w:rPr>
        <w:t xml:space="preserve">admin/actions.ts:621</w:t>
      </w:r>
      <w:r>
        <w:t xml:space="preserve">. Al crear una jornada con “+ Nueva acción”, el código ordena la tabla </w:t>
      </w:r>
      <w:r>
        <w:rPr>
          <w:rFonts w:ascii="Consolas" w:cs="Consolas" w:eastAsia="Consolas" w:hAnsi="Consolas"/>
          <w:color w:val="444444"/>
          <w:sz w:val="18"/>
          <w:szCs w:val="18"/>
        </w:rPr>
        <w:t xml:space="preserve">blueprint_action</w:t>
      </w:r>
      <w:r>
        <w:t xml:space="preserve"> por una columna que no existe: </w:t>
      </w:r>
      <w:r>
        <w:rPr>
          <w:rFonts w:ascii="Consolas" w:cs="Consolas" w:eastAsia="Consolas" w:hAnsi="Consolas"/>
          <w:color w:val="444444"/>
          <w:sz w:val="18"/>
          <w:szCs w:val="18"/>
        </w:rPr>
        <w:t xml:space="preserve">sort_order</w:t>
      </w:r>
      <w:r>
        <w:t xml:space="preserve">. Esa tabla usa </w:t>
      </w:r>
      <w:r>
        <w:rPr>
          <w:rFonts w:ascii="Consolas" w:cs="Consolas" w:eastAsia="Consolas" w:hAnsi="Consolas"/>
          <w:color w:val="444444"/>
          <w:sz w:val="18"/>
          <w:szCs w:val="18"/>
        </w:rPr>
        <w:t xml:space="preserve">position</w:t>
      </w:r>
      <w:r>
        <w:t xml:space="preserve"> (las tablas hermanas sí tienen </w:t>
      </w:r>
      <w:r>
        <w:rPr>
          <w:rFonts w:ascii="Consolas" w:cs="Consolas" w:eastAsia="Consolas" w:hAnsi="Consolas"/>
          <w:color w:val="444444"/>
          <w:sz w:val="18"/>
          <w:szCs w:val="18"/>
        </w:rPr>
        <w:t xml:space="preserve">sort_order</w:t>
      </w:r>
      <w:r>
        <w:t xml:space="preserve">, de ahí el desliz). La consulta falla, el error no se comprueba, y </w:t>
      </w:r>
      <w:r>
        <w:rPr>
          <w:rFonts w:ascii="Consolas" w:cs="Consolas" w:eastAsia="Consolas" w:hAnsi="Consolas"/>
          <w:color w:val="444444"/>
          <w:sz w:val="18"/>
          <w:szCs w:val="18"/>
        </w:rPr>
        <w:t xml:space="preserve">blueprintActionId</w:t>
      </w:r>
      <w:r>
        <w:t xml:space="preserve"> queda a null.</w:t>
      </w:r>
    </w:p>
    <w:p>
      <w:pPr>
        <w:spacing w:after="120" w:line="276"/>
      </w:pPr>
      <w:r>
        <w:rPr>
          <w:b/>
          <w:bCs/>
        </w:rPr>
        <w:t xml:space="preserve">Consecuencia: </w:t>
      </w:r>
      <w:r>
        <w:t xml:space="preserve">toda acción creada con “+ Nueva acción” en una campaña con blueprint </w:t>
      </w:r>
      <w:r>
        <w:rPr>
          <w:b/>
          <w:bCs/>
        </w:rPr>
        <w:t xml:space="preserve">nunca hereda su configuración de evidencias y KPIs</w:t>
      </w:r>
      <w:r>
        <w:t xml:space="preserve">, de forma invisible (no hay error para el admin). No rompe la app, pero corrompe la configuración de las campañas. Arreglo: </w:t>
      </w:r>
      <w:r>
        <w:rPr>
          <w:rFonts w:ascii="Consolas" w:cs="Consolas" w:eastAsia="Consolas" w:hAnsi="Consolas"/>
          <w:color w:val="444444"/>
          <w:sz w:val="18"/>
          <w:szCs w:val="18"/>
        </w:rPr>
        <w:t xml:space="preserve">.order('position')</w:t>
      </w:r>
      <w:r>
        <w:t xml:space="preserve"> + comprobar el error.</w:t>
      </w:r>
    </w:p>
    <w:p>
      <w:pPr>
        <w:spacing w:after="120" w:line="276"/>
      </w:pPr>
      <w:r>
        <w:rPr>
          <w:i/>
          <w:iCs/>
          <w:color w:val="6B6B6B"/>
          <w:sz w:val="18"/>
          <w:szCs w:val="18"/>
        </w:rPr>
        <w:t xml:space="preserve">Hallazgo aportado por una segunda pasada de auditoría independiente; verificado contra el esquema (</w:t>
      </w:r>
      <w:r>
        <w:rPr>
          <w:rFonts w:ascii="Consolas" w:cs="Consolas" w:eastAsia="Consolas" w:hAnsi="Consolas"/>
          <w:color w:val="444444"/>
          <w:sz w:val="18"/>
          <w:szCs w:val="18"/>
        </w:rPr>
        <w:t xml:space="preserve">schema.sql:171</w:t>
      </w:r>
      <w:r>
        <w:rPr>
          <w:i/>
          <w:iCs/>
          <w:color w:val="6B6B6B"/>
          <w:sz w:val="18"/>
          <w:szCs w:val="18"/>
        </w:rPr>
        <w:t xml:space="preserve">).</w:t>
      </w:r>
    </w:p>
    <w:p>
      <w:r>
        <w:br w:type="page"/>
      </w:r>
    </w:p>
    <w:p>
      <w:pPr>
        <w:pStyle w:val="Heading1"/>
        <w:spacing w:after="140" w:before="320"/>
      </w:pPr>
      <w:r>
        <w:rPr>
          <w:b/>
          <w:bCs/>
          <w:color w:val="1F2A4D"/>
        </w:rPr>
        <w:t xml:space="preserve">4. Rendimiento: a qué escala se rompe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5060"/>
        <w:gridCol w:w="800"/>
      </w:tblGrid>
      <w:tr>
        <w:trPr>
          <w:tblHeader/>
        </w:trPr>
        <w:tc>
          <w:tcPr>
            <w:tcW w:type="dxa" w:w="35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Umbral</w:t>
            </w:r>
          </w:p>
        </w:tc>
        <w:tc>
          <w:tcPr>
            <w:tcW w:type="dxa" w:w="50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Qué ocurre</w:t>
            </w:r>
          </w:p>
        </w:tc>
        <w:tc>
          <w:tcPr>
            <w:tcW w:type="dxa" w:w="8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Sev.</w:t>
            </w:r>
          </w:p>
        </w:tc>
      </w:tr>
      <w:tr>
        <w:tc>
          <w:tcPr>
            <w:tcW w:type="dxa" w:w="35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000000"/>
              </w:rPr>
              <w:t xml:space="preserve">1.000 evidencias aprobadas (plataforma)</w:t>
            </w:r>
          </w:p>
        </w:tc>
        <w:tc>
          <w:tcPr>
            <w:tcW w:type="dxa" w:w="50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Los KPIs empiezan a mentir en silencio (§2.3)</w:t>
            </w:r>
          </w:p>
        </w:tc>
        <w:tc>
          <w:tcPr>
            <w:tcW w:type="dxa" w:w="8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color w:val="B3261E"/>
              </w:rPr>
              <w:t xml:space="preserve">●</w:t>
            </w:r>
          </w:p>
        </w:tc>
      </w:tr>
      <w:tr>
        <w:tc>
          <w:tcPr>
            <w:tcW w:type="dxa" w:w="35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000000"/>
              </w:rPr>
              <w:t xml:space="preserve">60 campañas en una marca</w:t>
            </w:r>
          </w:p>
        </w:tc>
        <w:tc>
          <w:tcPr>
            <w:tcW w:type="dxa" w:w="50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La home de admin dispara ~241 peticiones HTTP por render → timeouts de Vercel</w:t>
            </w:r>
          </w:p>
        </w:tc>
        <w:tc>
          <w:tcPr>
            <w:tcW w:type="dxa" w:w="8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color w:val="B26A00"/>
              </w:rPr>
              <w:t xml:space="preserve">●</w:t>
            </w:r>
          </w:p>
        </w:tc>
      </w:tr>
      <w:tr>
        <w:tc>
          <w:tcPr>
            <w:tcW w:type="dxa" w:w="35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000000"/>
              </w:rPr>
              <w:t xml:space="preserve">180 jornadas en una campaña</w:t>
            </w:r>
          </w:p>
        </w:tc>
        <w:tc>
          <w:tcPr>
            <w:tcW w:type="dxa" w:w="50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Los .in() superan el límite de URL de PostgREST → error 500 en varias páginas</w:t>
            </w:r>
          </w:p>
        </w:tc>
        <w:tc>
          <w:tcPr>
            <w:tcW w:type="dxa" w:w="8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color w:val="B26A00"/>
              </w:rPr>
              <w:t xml:space="preserve">●</w:t>
            </w:r>
          </w:p>
        </w:tc>
      </w:tr>
      <w:tr>
        <w:tc>
          <w:tcPr>
            <w:tcW w:type="dxa" w:w="35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000000"/>
              </w:rPr>
              <w:t xml:space="preserve">10.000 usuarios</w:t>
            </w:r>
          </w:p>
        </w:tc>
        <w:tc>
          <w:tcPr>
            <w:tcW w:type="dxa" w:w="50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Falta índice en brand_membership(user_id): escaneo secuencial en cada petición</w:t>
            </w:r>
          </w:p>
        </w:tc>
        <w:tc>
          <w:tcPr>
            <w:tcW w:type="dxa" w:w="8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color w:val="B26A00"/>
              </w:rPr>
              <w:t xml:space="preserve">●</w:t>
            </w:r>
          </w:p>
        </w:tc>
      </w:tr>
      <w:tr>
        <w:tc>
          <w:tcPr>
            <w:tcW w:type="dxa" w:w="35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000000"/>
              </w:rPr>
              <w:t xml:space="preserve">50.000 evidencias</w:t>
            </w:r>
          </w:p>
        </w:tc>
        <w:tc>
          <w:tcPr>
            <w:tcW w:type="dxa" w:w="50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La home de admin transfiere decenas de MB de JSON por render; riesgo de OOM</w:t>
            </w:r>
          </w:p>
        </w:tc>
        <w:tc>
          <w:tcPr>
            <w:tcW w:type="dxa" w:w="8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color w:val="B26A00"/>
              </w:rPr>
              <w:t xml:space="preserve">●</w:t>
            </w:r>
          </w:p>
        </w:tc>
      </w:tr>
      <w:tr>
        <w:tc>
          <w:tcPr>
            <w:tcW w:type="dxa" w:w="35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000000"/>
              </w:rPr>
              <w:t xml:space="preserve">Purga RGPD con acumulación</w:t>
            </w:r>
          </w:p>
        </w:tc>
        <w:tc>
          <w:tcPr>
            <w:tcW w:type="dxa" w:w="50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El .in() con miles de IDs excede el límite de URL → el cron falla en silencio y se incumple la retención legal</w:t>
            </w:r>
          </w:p>
        </w:tc>
        <w:tc>
          <w:tcPr>
            <w:tcW w:type="dxa" w:w="8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color w:val="B3261E"/>
              </w:rPr>
              <w:t xml:space="preserve">●</w:t>
            </w:r>
          </w:p>
        </w:tc>
      </w:tr>
    </w:tbl>
    <w:p>
      <w:pPr>
        <w:spacing w:after="120" w:before="140"/>
      </w:pPr>
      <w:r>
        <w:t xml:space="preserve">Otros datos: </w:t>
      </w:r>
      <w:r>
        <w:rPr>
          <w:b/>
          <w:bCs/>
        </w:rPr>
        <w:t xml:space="preserve">cero caché</w:t>
      </w:r>
      <w:r>
        <w:t xml:space="preserve"> en todo el proyecto, </w:t>
      </w:r>
      <w:r>
        <w:rPr>
          <w:b/>
          <w:bCs/>
        </w:rPr>
        <w:t xml:space="preserve">cero paginación</w:t>
      </w:r>
      <w:r>
        <w:t xml:space="preserve"> en 8 de las 9 listas que crecen, y 35 </w:t>
      </w:r>
      <w:r>
        <w:rPr>
          <w:rFonts w:ascii="Consolas" w:cs="Consolas" w:eastAsia="Consolas" w:hAnsi="Consolas"/>
          <w:color w:val="444444"/>
          <w:sz w:val="18"/>
          <w:szCs w:val="18"/>
        </w:rPr>
        <w:t xml:space="preserve">&lt;img&gt;</w:t>
      </w:r>
      <w:r>
        <w:t xml:space="preserve"> crudos frente a 2 </w:t>
      </w:r>
      <w:r>
        <w:rPr>
          <w:rFonts w:ascii="Consolas" w:cs="Consolas" w:eastAsia="Consolas" w:hAnsi="Consolas"/>
          <w:color w:val="444444"/>
          <w:sz w:val="18"/>
          <w:szCs w:val="18"/>
        </w:rPr>
        <w:t xml:space="preserve">next/image</w:t>
      </w:r>
      <w:r>
        <w:t xml:space="preserve">, ambos con </w:t>
      </w:r>
      <w:r>
        <w:rPr>
          <w:rFonts w:ascii="Consolas" w:cs="Consolas" w:eastAsia="Consolas" w:hAnsi="Consolas"/>
          <w:color w:val="444444"/>
          <w:sz w:val="18"/>
          <w:szCs w:val="18"/>
        </w:rPr>
        <w:t xml:space="preserve">unoptimized</w:t>
      </w:r>
      <w:r>
        <w:t xml:space="preserve"> —el revisor descarga la foto original de 4 MB para verla en un recuadro de 100 px.</w:t>
      </w:r>
    </w:p>
    <w:p>
      <w:pPr>
        <w:spacing w:after="120" w:line="276"/>
      </w:pPr>
      <w:r>
        <w:t xml:space="preserve">La corrección con mejor relación esfuerzo/impacto: envolver </w:t>
      </w:r>
      <w:r>
        <w:rPr>
          <w:rFonts w:ascii="Consolas" w:cs="Consolas" w:eastAsia="Consolas" w:hAnsi="Consolas"/>
          <w:color w:val="444444"/>
          <w:sz w:val="18"/>
          <w:szCs w:val="18"/>
        </w:rPr>
        <w:t xml:space="preserve">getCurrentMemberships</w:t>
      </w:r>
      <w:r>
        <w:t xml:space="preserve">, </w:t>
      </w:r>
      <w:r>
        <w:rPr>
          <w:rFonts w:ascii="Consolas" w:cs="Consolas" w:eastAsia="Consolas" w:hAnsi="Consolas"/>
          <w:color w:val="444444"/>
          <w:sz w:val="18"/>
          <w:szCs w:val="18"/>
        </w:rPr>
        <w:t xml:space="preserve">getCurrentUser</w:t>
      </w:r>
      <w:r>
        <w:t xml:space="preserve"> y </w:t>
      </w:r>
      <w:r>
        <w:rPr>
          <w:rFonts w:ascii="Consolas" w:cs="Consolas" w:eastAsia="Consolas" w:hAnsi="Consolas"/>
          <w:color w:val="444444"/>
          <w:sz w:val="18"/>
          <w:szCs w:val="18"/>
        </w:rPr>
        <w:t xml:space="preserve">getTenantSlug</w:t>
      </w:r>
      <w:r>
        <w:t xml:space="preserve"> en </w:t>
      </w:r>
      <w:r>
        <w:rPr>
          <w:rFonts w:ascii="Consolas" w:cs="Consolas" w:eastAsia="Consolas" w:hAnsi="Consolas"/>
          <w:color w:val="444444"/>
          <w:sz w:val="18"/>
          <w:szCs w:val="18"/>
        </w:rPr>
        <w:t xml:space="preserve">cache()</w:t>
      </w:r>
      <w:r>
        <w:t xml:space="preserve"> de React. Cuatro líneas eliminan el 80 % del tráfico redundante.</w:t>
      </w:r>
    </w:p>
    <w:p>
      <w:r>
        <w:br w:type="page"/>
      </w:r>
    </w:p>
    <w:p>
      <w:pPr>
        <w:pStyle w:val="Heading1"/>
        <w:spacing w:after="140" w:before="320"/>
      </w:pPr>
      <w:r>
        <w:rPr>
          <w:b/>
          <w:bCs/>
          <w:color w:val="1F2A4D"/>
        </w:rPr>
        <w:t xml:space="preserve">5. Accesibilidad: barreras de nivel A en toda la aplicación</w:t>
      </w:r>
    </w:p>
    <w:p>
      <w:pPr>
        <w:spacing w:after="120" w:line="276"/>
      </w:pPr>
      <w:r>
        <w:t xml:space="preserve">Recuento verificado sobre los 140 ficheros de interfaz:</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700"/>
        <w:gridCol w:w="1400"/>
        <w:gridCol w:w="3260"/>
      </w:tblGrid>
      <w:tr>
        <w:trPr>
          <w:tblHeader/>
        </w:trPr>
        <w:tc>
          <w:tcPr>
            <w:tcW w:type="dxa" w:w="47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Atributo</w:t>
            </w:r>
          </w:p>
        </w:tc>
        <w:tc>
          <w:tcPr>
            <w:tcW w:type="dxa" w:w="14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Ocurrencias</w:t>
            </w:r>
          </w:p>
        </w:tc>
        <w:tc>
          <w:tcPr>
            <w:tcW w:type="dxa" w:w="32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Nota</w:t>
            </w:r>
          </w:p>
        </w:tc>
      </w:tr>
      <w:tr>
        <w:tc>
          <w:tcPr>
            <w:tcW w:type="dxa" w:w="47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rFonts w:ascii="Consolas" w:cs="Consolas" w:eastAsia="Consolas" w:hAnsi="Consolas"/>
                <w:color w:val="444444"/>
                <w:sz w:val="18"/>
                <w:szCs w:val="18"/>
              </w:rPr>
              <w:t xml:space="preserve">htmlFor (asociar etiqueta y campo)</w:t>
            </w:r>
          </w:p>
        </w:tc>
        <w:tc>
          <w:tcPr>
            <w:tcW w:type="dxa" w:w="1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B3261E"/>
              </w:rPr>
              <w:t xml:space="preserve">2</w:t>
            </w:r>
          </w:p>
        </w:tc>
        <w:tc>
          <w:tcPr>
            <w:tcW w:type="dxa" w:w="32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555555"/>
              </w:rPr>
              <w:t xml:space="preserve">en un solo componente</w:t>
            </w:r>
          </w:p>
        </w:tc>
      </w:tr>
      <w:tr>
        <w:tc>
          <w:tcPr>
            <w:tcW w:type="dxa" w:w="47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rFonts w:ascii="Consolas" w:cs="Consolas" w:eastAsia="Consolas" w:hAnsi="Consolas"/>
                <w:color w:val="444444"/>
                <w:sz w:val="18"/>
                <w:szCs w:val="18"/>
              </w:rPr>
              <w:t xml:space="preserve">role="alert"</w:t>
            </w:r>
          </w:p>
        </w:tc>
        <w:tc>
          <w:tcPr>
            <w:tcW w:type="dxa" w:w="1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B3261E"/>
              </w:rPr>
              <w:t xml:space="preserve">0</w:t>
            </w:r>
          </w:p>
        </w:tc>
        <w:tc>
          <w:tcPr>
            <w:tcW w:type="dxa" w:w="32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555555"/>
              </w:rPr>
              <w:t xml:space="preserve">—</w:t>
            </w:r>
          </w:p>
        </w:tc>
      </w:tr>
      <w:tr>
        <w:tc>
          <w:tcPr>
            <w:tcW w:type="dxa" w:w="47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rFonts w:ascii="Consolas" w:cs="Consolas" w:eastAsia="Consolas" w:hAnsi="Consolas"/>
                <w:color w:val="444444"/>
                <w:sz w:val="18"/>
                <w:szCs w:val="18"/>
              </w:rPr>
              <w:t xml:space="preserve">aria-live</w:t>
            </w:r>
          </w:p>
        </w:tc>
        <w:tc>
          <w:tcPr>
            <w:tcW w:type="dxa" w:w="1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B3261E"/>
              </w:rPr>
              <w:t xml:space="preserve">0</w:t>
            </w:r>
          </w:p>
        </w:tc>
        <w:tc>
          <w:tcPr>
            <w:tcW w:type="dxa" w:w="32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555555"/>
              </w:rPr>
              <w:t xml:space="preserve">—</w:t>
            </w:r>
          </w:p>
        </w:tc>
      </w:tr>
      <w:tr>
        <w:tc>
          <w:tcPr>
            <w:tcW w:type="dxa" w:w="47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rFonts w:ascii="Consolas" w:cs="Consolas" w:eastAsia="Consolas" w:hAnsi="Consolas"/>
                <w:color w:val="444444"/>
                <w:sz w:val="18"/>
                <w:szCs w:val="18"/>
              </w:rPr>
              <w:t xml:space="preserve">aria-invalid</w:t>
            </w:r>
          </w:p>
        </w:tc>
        <w:tc>
          <w:tcPr>
            <w:tcW w:type="dxa" w:w="1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B3261E"/>
              </w:rPr>
              <w:t xml:space="preserve">0</w:t>
            </w:r>
          </w:p>
        </w:tc>
        <w:tc>
          <w:tcPr>
            <w:tcW w:type="dxa" w:w="32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555555"/>
              </w:rPr>
              <w:t xml:space="preserve">—</w:t>
            </w:r>
          </w:p>
        </w:tc>
      </w:tr>
      <w:tr>
        <w:tc>
          <w:tcPr>
            <w:tcW w:type="dxa" w:w="47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rFonts w:ascii="Consolas" w:cs="Consolas" w:eastAsia="Consolas" w:hAnsi="Consolas"/>
                <w:color w:val="444444"/>
                <w:sz w:val="18"/>
                <w:szCs w:val="18"/>
              </w:rPr>
              <w:t xml:space="preserve">aria-describedby</w:t>
            </w:r>
          </w:p>
        </w:tc>
        <w:tc>
          <w:tcPr>
            <w:tcW w:type="dxa" w:w="1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B3261E"/>
              </w:rPr>
              <w:t xml:space="preserve">0</w:t>
            </w:r>
          </w:p>
        </w:tc>
        <w:tc>
          <w:tcPr>
            <w:tcW w:type="dxa" w:w="32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555555"/>
              </w:rPr>
              <w:t xml:space="preserve">—</w:t>
            </w:r>
          </w:p>
        </w:tc>
      </w:tr>
      <w:tr>
        <w:tc>
          <w:tcPr>
            <w:tcW w:type="dxa" w:w="47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rFonts w:ascii="Consolas" w:cs="Consolas" w:eastAsia="Consolas" w:hAnsi="Consolas"/>
                <w:color w:val="444444"/>
                <w:sz w:val="18"/>
                <w:szCs w:val="18"/>
              </w:rPr>
              <w:t xml:space="preserve">error.tsx / not-found.tsx</w:t>
            </w:r>
          </w:p>
        </w:tc>
        <w:tc>
          <w:tcPr>
            <w:tcW w:type="dxa" w:w="1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bCs/>
                <w:color w:val="B3261E"/>
              </w:rPr>
              <w:t xml:space="preserve">0</w:t>
            </w:r>
          </w:p>
        </w:tc>
        <w:tc>
          <w:tcPr>
            <w:tcW w:type="dxa" w:w="32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555555"/>
              </w:rPr>
              <w:t xml:space="preserve">sin pantalla de error</w:t>
            </w:r>
          </w:p>
        </w:tc>
      </w:tr>
    </w:tbl>
    <w:p>
      <w:pPr>
        <w:spacing w:after="80" w:before="140"/>
      </w:pPr>
      <w:r>
        <w:t xml:space="preserve">Las tres barreras de mayor superficie:</w:t>
      </w:r>
    </w:p>
    <w:p>
      <w:pPr>
        <w:pStyle w:val="ListParagraph"/>
        <w:numPr>
          <w:ilvl w:val="0"/>
          <w:numId w:val="3"/>
        </w:numPr>
        <w:spacing w:after="60" w:line="264"/>
      </w:pPr>
      <w:r>
        <w:rPr>
          <w:b/>
          <w:bCs/>
        </w:rPr>
        <w:t xml:space="preserve">Ningún campo de formulario tiene etiqueta asociada.</w:t>
      </w:r>
      <w:r>
        <w:t xml:space="preserve"> Ni en el front de empleado ni en el admin. Un lector de pantalla anuncia “cuadro de edición, en blanco” en el login, el registro y los 35 campos del editor de campañas.</w:t>
      </w:r>
    </w:p>
    <w:p>
      <w:pPr>
        <w:pStyle w:val="ListParagraph"/>
        <w:numPr>
          <w:ilvl w:val="0"/>
          <w:numId w:val="3"/>
        </w:numPr>
        <w:spacing w:after="60" w:line="264"/>
      </w:pPr>
      <w:r>
        <w:rPr>
          <w:b/>
          <w:bCs/>
        </w:rPr>
        <w:t xml:space="preserve">El indicador de foco de teclado es literalmente invisible.</w:t>
      </w:r>
      <w:r>
        <w:t xml:space="preserve"> Se sustituye el contorno nativo por un halo lima sobre fondo casi idéntico: contraste 1,00:1.</w:t>
      </w:r>
    </w:p>
    <w:p>
      <w:pPr>
        <w:pStyle w:val="ListParagraph"/>
        <w:numPr>
          <w:ilvl w:val="0"/>
          <w:numId w:val="3"/>
        </w:numPr>
        <w:spacing w:after="60" w:line="264"/>
      </w:pPr>
      <w:r>
        <w:rPr>
          <w:b/>
          <w:bCs/>
        </w:rPr>
        <w:t xml:space="preserve">Los errores no se anuncian y no se leen.</w:t>
      </w:r>
      <w:r>
        <w:t xml:space="preserve"> Ningún contenedor tiene role="alert", y el estilo (rojo con texto blanco) da 2,77:1 frente al 4,5:1 exigido. Replicado en 12 sitios.</w:t>
      </w:r>
    </w:p>
    <w:p>
      <w:pPr>
        <w:spacing w:after="80" w:before="120"/>
      </w:pPr>
      <w:r>
        <w:t xml:space="preserve">Y dos bugs funcionales derivados:</w:t>
      </w:r>
    </w:p>
    <w:p>
      <w:pPr>
        <w:pStyle w:val="ListParagraph"/>
        <w:numPr>
          <w:ilvl w:val="0"/>
          <w:numId w:val="2"/>
        </w:numPr>
        <w:spacing w:after="60" w:line="264"/>
      </w:pPr>
      <w:r>
        <w:rPr>
          <w:b/>
          <w:bCs/>
        </w:rPr>
        <w:t xml:space="preserve">Las etiquetas de la navegación móvil no se muestran nunca</w:t>
      </w:r>
      <w:r>
        <w:t xml:space="preserve">: usan un breakpoint (xs) que no existe en Tailwind v4. El chrome principal de una app mobile-first son tres iconos sin texto.</w:t>
      </w:r>
    </w:p>
    <w:p>
      <w:pPr>
        <w:pStyle w:val="ListParagraph"/>
        <w:numPr>
          <w:ilvl w:val="0"/>
          <w:numId w:val="2"/>
        </w:numPr>
        <w:spacing w:after="60" w:line="264"/>
      </w:pPr>
      <w:r>
        <w:rPr>
          <w:rFonts w:ascii="Consolas" w:cs="Consolas" w:eastAsia="Consolas" w:hAnsi="Consolas"/>
          <w:color w:val="444444"/>
          <w:sz w:val="18"/>
          <w:szCs w:val="18"/>
        </w:rPr>
        <w:t xml:space="preserve">AppShell</w:t>
      </w:r>
      <w:r>
        <w:rPr>
          <w:b/>
          <w:bCs/>
        </w:rPr>
        <w:t xml:space="preserve"> renderiza los hijos dos veces</w:t>
      </w:r>
      <w:r>
        <w:t xml:space="preserve">: todo el árbol de cada página se monta duplicado, con IDs repetidos e imágenes descargadas dos veces.</w:t>
      </w:r>
    </w:p>
    <w:p>
      <w:pPr>
        <w:spacing w:before="120"/>
      </w:pPr>
      <w:r>
        <w:rPr>
          <w:b/>
          <w:bCs/>
        </w:rPr>
        <w:t xml:space="preserve">Acciones destructivas sin confirmación: </w:t>
      </w:r>
      <w:r>
        <w:t xml:space="preserve">bloquear a un empleado, quitarle el rol de admin, revocar una invitación y cerrar una campaña (irreversible) son botones de 26 px en una tabla con scroll horizontal, sin paso intermedio ni deshacer.</w:t>
      </w:r>
    </w:p>
    <w:p>
      <w:pPr>
        <w:spacing w:after="120" w:line="276"/>
      </w:pPr>
      <w:r>
        <w:rPr>
          <w:b/>
          <w:bCs/>
        </w:rPr>
        <w:t xml:space="preserve">Internacionalización: no existe. </w:t>
      </w:r>
      <w:r>
        <w:t xml:space="preserve">El 100 % de los textos están incrustados en el código (~990 literales en 93 ficheros). El RFP pedía “ES con capacidad de ampliación a EN sin reescritura”: </w:t>
      </w:r>
      <w:r>
        <w:rPr>
          <w:b/>
          <w:bCs/>
        </w:rPr>
        <w:t xml:space="preserve">ese requisito no se cumple</w:t>
      </w:r>
      <w:r>
        <w:t xml:space="preserve"> —añadir inglés hoy cuesta 3-5 semanas-persona.</w:t>
      </w:r>
    </w:p>
    <w:p>
      <w:r>
        <w:br w:type="page"/>
      </w:r>
    </w:p>
    <w:p>
      <w:pPr>
        <w:pStyle w:val="Heading1"/>
        <w:spacing w:after="140" w:before="320"/>
      </w:pPr>
      <w:r>
        <w:rPr>
          <w:b/>
          <w:bCs/>
          <w:color w:val="1F2A4D"/>
        </w:rPr>
        <w:t xml:space="preserve">6. Mantenibilidad</w:t>
      </w:r>
    </w:p>
    <w:p>
      <w:pPr>
        <w:spacing w:after="120" w:line="276"/>
      </w:pPr>
      <w:r>
        <w:rPr>
          <w:b/>
          <w:bCs/>
        </w:rPr>
        <w:t xml:space="preserve">Tres ficheros concentran el riesgo</w:t>
      </w:r>
      <w:r>
        <w:t xml:space="preserve"> (4.751 líneas, casi un tercio de la aplicación):</w:t>
      </w:r>
    </w:p>
    <w:p>
      <w:pPr>
        <w:pStyle w:val="ListParagraph"/>
        <w:numPr>
          <w:ilvl w:val="0"/>
          <w:numId w:val="2"/>
        </w:numPr>
        <w:spacing w:after="60" w:line="264"/>
      </w:pPr>
      <w:r>
        <w:rPr>
          <w:rFonts w:ascii="Consolas" w:cs="Consolas" w:eastAsia="Consolas" w:hAnsi="Consolas"/>
          <w:color w:val="444444"/>
          <w:sz w:val="18"/>
          <w:szCs w:val="18"/>
        </w:rPr>
        <w:t xml:space="preserve">lib/db.ts</w:t>
      </w:r>
      <w:r>
        <w:t xml:space="preserve"> (1.940) — módulo-Dios: mezcla resolución de tenant, autorización, catálogos, CRUD, 520 líneas de analítica, cadenas y RGPD.</w:t>
      </w:r>
    </w:p>
    <w:p>
      <w:pPr>
        <w:pStyle w:val="ListParagraph"/>
        <w:numPr>
          <w:ilvl w:val="0"/>
          <w:numId w:val="2"/>
        </w:numPr>
        <w:spacing w:after="60" w:line="264"/>
      </w:pPr>
      <w:r>
        <w:rPr>
          <w:rFonts w:ascii="Consolas" w:cs="Consolas" w:eastAsia="Consolas" w:hAnsi="Consolas"/>
          <w:color w:val="444444"/>
          <w:sz w:val="18"/>
          <w:szCs w:val="18"/>
        </w:rPr>
        <w:t xml:space="preserve">admin/actions.ts</w:t>
      </w:r>
      <w:r>
        <w:t xml:space="preserve"> (1.674) — 21 endpoints HTTP en un fichero. </w:t>
      </w:r>
      <w:r>
        <w:rPr>
          <w:rFonts w:ascii="Consolas" w:cs="Consolas" w:eastAsia="Consolas" w:hAnsi="Consolas"/>
          <w:color w:val="444444"/>
          <w:sz w:val="18"/>
          <w:szCs w:val="18"/>
        </w:rPr>
        <w:t xml:space="preserve">upsertCampaign</w:t>
      </w:r>
      <w:r>
        <w:t xml:space="preserve"> son 218 líneas que orquestan 4 tablas sin transacción, sincronizadas a mano con los ~50 estados del editor.</w:t>
      </w:r>
    </w:p>
    <w:p>
      <w:pPr>
        <w:pStyle w:val="ListParagraph"/>
        <w:numPr>
          <w:ilvl w:val="0"/>
          <w:numId w:val="2"/>
        </w:numPr>
        <w:spacing w:after="60" w:line="264"/>
      </w:pPr>
      <w:r>
        <w:rPr>
          <w:rFonts w:ascii="Consolas" w:cs="Consolas" w:eastAsia="Consolas" w:hAnsi="Consolas"/>
          <w:color w:val="444444"/>
          <w:sz w:val="18"/>
          <w:szCs w:val="18"/>
        </w:rPr>
        <w:t xml:space="preserve">campaign-editor.tsx</w:t>
      </w:r>
      <w:r>
        <w:t xml:space="preserve"> (1.137) — ~50 estados independientes, sin aviso al salir: cerrar la pestaña descarta 15-20 minutos de trabajo.</w:t>
      </w:r>
    </w:p>
    <w:p>
      <w:pPr>
        <w:spacing w:after="120" w:line="276"/>
      </w:pPr>
      <w:r>
        <w:t xml:space="preserve">Y </w:t>
      </w:r>
      <w:r>
        <w:rPr>
          <w:rFonts w:ascii="Consolas" w:cs="Consolas" w:eastAsia="Consolas" w:hAnsi="Consolas"/>
          <w:color w:val="444444"/>
          <w:sz w:val="18"/>
          <w:szCs w:val="18"/>
        </w:rPr>
        <w:t xml:space="preserve">20260603120000_reconcile_prod_to_main.sql</w:t>
      </w:r>
      <w:r>
        <w:t xml:space="preserve"> (1.133 líneas) es una copia de 15 migraciones anteriores concatenadas, con </w:t>
      </w:r>
      <w:r>
        <w:rPr>
          <w:rFonts w:ascii="Consolas" w:cs="Consolas" w:eastAsia="Consolas" w:hAnsi="Consolas"/>
          <w:color w:val="444444"/>
          <w:sz w:val="18"/>
          <w:szCs w:val="18"/>
        </w:rPr>
        <w:t xml:space="preserve">handle_new_auth_user</w:t>
      </w:r>
      <w:r>
        <w:t xml:space="preserve"> definida tres veces en el mismo fichero. Es evidencia de que producción divergió del repositorio.</w:t>
      </w:r>
    </w:p>
    <w:p>
      <w:pPr>
        <w:spacing w:after="120" w:line="276"/>
      </w:pPr>
      <w:r>
        <w:rPr>
          <w:b/>
          <w:bCs/>
        </w:rPr>
        <w:t xml:space="preserve">Código muerto verificado: </w:t>
      </w:r>
      <w:r>
        <w:t xml:space="preserve">4 tablas con cero lecturas, ~50 exports sin usar (incluidas 3 server actions expuestas sin consumidor), 5 rutas que solo redirigen, y ~80 </w:t>
      </w:r>
      <w:r>
        <w:rPr>
          <w:rFonts w:ascii="Consolas" w:cs="Consolas" w:eastAsia="Consolas" w:hAnsi="Consolas"/>
          <w:color w:val="444444"/>
          <w:sz w:val="18"/>
          <w:szCs w:val="18"/>
        </w:rPr>
        <w:t xml:space="preserve">as never</w:t>
      </w:r>
      <w:r>
        <w:t xml:space="preserve"> que existen para satisfacer una opción de configuración que ni siquiera está activada.</w:t>
      </w:r>
    </w:p>
    <w:p>
      <w:pPr>
        <w:spacing w:after="120" w:line="276"/>
      </w:pPr>
      <w:r>
        <w:rPr>
          <w:b/>
          <w:bCs/>
        </w:rPr>
        <w:t xml:space="preserve">Documentación desactualizada: </w:t>
      </w:r>
      <w:r>
        <w:t xml:space="preserve">el README describe como “pendientes” fases terminadas, apunta a rutas de la máquina de otro desarrollador (</w:t>
      </w:r>
      <w:r>
        <w:rPr>
          <w:rFonts w:ascii="Consolas" w:cs="Consolas" w:eastAsia="Consolas" w:hAnsi="Consolas"/>
          <w:color w:val="444444"/>
          <w:sz w:val="18"/>
          <w:szCs w:val="18"/>
        </w:rPr>
        <w:t xml:space="preserve">C:\Users\corre\...</w:t>
      </w:r>
      <w:r>
        <w:t xml:space="preserve">) y remite a un </w:t>
      </w:r>
      <w:r>
        <w:rPr>
          <w:rFonts w:ascii="Consolas" w:cs="Consolas" w:eastAsia="Consolas" w:hAnsi="Consolas"/>
          <w:color w:val="444444"/>
          <w:sz w:val="18"/>
          <w:szCs w:val="18"/>
        </w:rPr>
        <w:t xml:space="preserve">CLAUDE.md</w:t>
      </w:r>
      <w:r>
        <w:t xml:space="preserve"> excluido del control de versiones pese a figurar como material de traspaso.</w:t>
      </w:r>
    </w:p>
    <w:p>
      <w:pPr>
        <w:spacing w:after="120" w:line="276"/>
      </w:pPr>
      <w:r>
        <w:rPr>
          <w:b/>
          <w:bCs/>
        </w:rPr>
        <w:t xml:space="preserve">Coste de handover estimado: </w:t>
      </w:r>
      <w:r>
        <w:t xml:space="preserve">4-6 semanas para productividad razonable; 2-3 meses para autonomía en las zonas críticas. Para 27.500 líneas es caro —lo normal serían 2-3 semanas.</w:t>
      </w:r>
    </w:p>
    <w:p>
      <w:r>
        <w:br w:type="page"/>
      </w:r>
    </w:p>
    <w:p>
      <w:pPr>
        <w:pStyle w:val="Heading1"/>
        <w:spacing w:after="140" w:before="320"/>
      </w:pPr>
      <w:r>
        <w:rPr>
          <w:b/>
          <w:bCs/>
          <w:color w:val="1F2A4D"/>
        </w:rPr>
        <w:t xml:space="preserve">7. Lo que está bien (y conviene conservar)</w:t>
      </w:r>
    </w:p>
    <w:p>
      <w:pPr>
        <w:spacing w:after="120" w:line="276"/>
      </w:pPr>
      <w:r>
        <w:t xml:space="preserve">Para que la crítica anterior sea creíble, hay que decir con la misma claridad qué está bien hecho:</w:t>
      </w:r>
    </w:p>
    <w:p>
      <w:pPr>
        <w:pStyle w:val="ListParagraph"/>
        <w:numPr>
          <w:ilvl w:val="0"/>
          <w:numId w:val="2"/>
        </w:numPr>
        <w:spacing w:after="60" w:line="264"/>
      </w:pPr>
      <w:r>
        <w:rPr>
          <w:b/>
          <w:bCs/>
          <w:color w:val="1E7A46"/>
        </w:rPr>
        <w:t xml:space="preserve">El motor de cadenas QR es excelente.</w:t>
      </w:r>
      <w:r>
        <w:t xml:space="preserve"> Las reglas de negocio BR-1 a BR-6 están como restricciones y triggers en la BD, la activación se serializa con </w:t>
      </w:r>
      <w:r>
        <w:rPr>
          <w:rFonts w:ascii="Consolas" w:cs="Consolas" w:eastAsia="Consolas" w:hAnsi="Consolas"/>
          <w:color w:val="444444"/>
          <w:sz w:val="18"/>
          <w:szCs w:val="18"/>
        </w:rPr>
        <w:t xml:space="preserve">FOR UPDATE</w:t>
      </w:r>
      <w:r>
        <w:t xml:space="preserve">, es idempotente ante reescaneo, y el EXECUTE está revocado de anon/authenticated. Probado con una carrera concurrente. Es el patrón que debería seguir el resto.</w:t>
      </w:r>
    </w:p>
    <w:p>
      <w:pPr>
        <w:pStyle w:val="ListParagraph"/>
        <w:numPr>
          <w:ilvl w:val="0"/>
          <w:numId w:val="2"/>
        </w:numPr>
        <w:spacing w:after="60" w:line="264"/>
      </w:pPr>
      <w:r>
        <w:rPr>
          <w:b/>
          <w:bCs/>
          <w:color w:val="1E7A46"/>
        </w:rPr>
        <w:t xml:space="preserve">Los tests son reales</w:t>
      </w:r>
      <w:r>
        <w:t xml:space="preserve">, no decorativos: 57 de integración contra BD real (aislamiento entre marcas con JWT reales, máquinas de estado, RGPD) y 18 e2e, incluido el flujo completo de cadena con dos usuarios.</w:t>
      </w:r>
    </w:p>
    <w:p>
      <w:pPr>
        <w:pStyle w:val="ListParagraph"/>
        <w:numPr>
          <w:ilvl w:val="0"/>
          <w:numId w:val="2"/>
        </w:numPr>
        <w:spacing w:after="60" w:line="264"/>
      </w:pPr>
      <w:r>
        <w:rPr>
          <w:b/>
          <w:bCs/>
          <w:color w:val="1E7A46"/>
        </w:rPr>
        <w:t xml:space="preserve">RGPD tomado en serio</w:t>
      </w:r>
      <w:r>
        <w:t xml:space="preserve">: consentimientos con IP, agente, versión y revocación fechada; purga automática por retención con tombstones y auditoría.</w:t>
      </w:r>
    </w:p>
    <w:p>
      <w:pPr>
        <w:pStyle w:val="ListParagraph"/>
        <w:numPr>
          <w:ilvl w:val="0"/>
          <w:numId w:val="2"/>
        </w:numPr>
        <w:spacing w:after="60" w:line="264"/>
      </w:pPr>
      <w:r>
        <w:rPr>
          <w:b/>
          <w:bCs/>
          <w:color w:val="1E7A46"/>
        </w:rPr>
        <w:t xml:space="preserve">Los comentarios explican el porqué</w:t>
      </w:r>
      <w:r>
        <w:t xml:space="preserve">, no el qué. Hay post-mortems de bugs embebidos en el código.</w:t>
      </w:r>
    </w:p>
    <w:p>
      <w:pPr>
        <w:pStyle w:val="ListParagraph"/>
        <w:numPr>
          <w:ilvl w:val="0"/>
          <w:numId w:val="2"/>
        </w:numPr>
        <w:spacing w:after="60" w:line="264"/>
      </w:pPr>
      <w:r>
        <w:rPr>
          <w:b/>
          <w:bCs/>
          <w:color w:val="1E7A46"/>
        </w:rPr>
        <w:t xml:space="preserve">El aislamiento de credenciales entre clientes</w:t>
      </w:r>
      <w:r>
        <w:t xml:space="preserve"> es maduro y resuelve un problema operativo real.</w:t>
      </w:r>
    </w:p>
    <w:p>
      <w:pPr>
        <w:pStyle w:val="ListParagraph"/>
        <w:numPr>
          <w:ilvl w:val="0"/>
          <w:numId w:val="2"/>
        </w:numPr>
        <w:spacing w:after="60" w:line="264"/>
      </w:pPr>
      <w:r>
        <w:rPr>
          <w:rFonts w:ascii="Consolas" w:cs="Consolas" w:eastAsia="Consolas" w:hAnsi="Consolas"/>
          <w:color w:val="444444"/>
          <w:sz w:val="18"/>
          <w:szCs w:val="18"/>
        </w:rPr>
        <w:t xml:space="preserve">kpi/aggregate.ts</w:t>
      </w:r>
      <w:r>
        <w:t xml:space="preserve"> y </w:t>
      </w:r>
      <w:r>
        <w:rPr>
          <w:rFonts w:ascii="Consolas" w:cs="Consolas" w:eastAsia="Consolas" w:hAnsi="Consolas"/>
          <w:color w:val="444444"/>
          <w:sz w:val="18"/>
          <w:szCs w:val="18"/>
        </w:rPr>
        <w:t xml:space="preserve">evidence/validated.ts</w:t>
      </w:r>
      <w:r>
        <w:t xml:space="preserve"> están bien diseñados (reciben el cliente por parámetro, son testeables). Son el patrón a replicar.</w:t>
      </w:r>
    </w:p>
    <w:p>
      <w:r>
        <w:br w:type="page"/>
      </w:r>
    </w:p>
    <w:p>
      <w:pPr>
        <w:pStyle w:val="Heading1"/>
        <w:spacing w:after="140" w:before="320"/>
      </w:pPr>
      <w:r>
        <w:rPr>
          <w:b/>
          <w:bCs/>
          <w:color w:val="1F2A4D"/>
        </w:rPr>
        <w:t xml:space="preserve">8. Plan de remediación priorizado</w:t>
      </w:r>
    </w:p>
    <w:p>
      <w:pPr>
        <w:pStyle w:val="Heading2"/>
        <w:spacing w:after="100" w:before="240"/>
      </w:pPr>
      <w:r>
        <w:rPr>
          <w:b/>
          <w:bCs/>
          <w:color w:val="1F2A4D"/>
        </w:rPr>
        <w:t xml:space="preserve">P0 — Antes de cualquier piloto real con datos de clientes (2-3 semanas)</w:t>
      </w:r>
    </w:p>
    <w:p>
      <w:pPr>
        <w:pStyle w:val="ListParagraph"/>
        <w:numPr>
          <w:ilvl w:val="0"/>
          <w:numId w:val="3"/>
        </w:numPr>
        <w:spacing w:after="60" w:line="264"/>
      </w:pPr>
      <w:r>
        <w:t xml:space="preserve">requireOps() + comprobación de marca en las tres acciones de Ops.</w:t>
      </w:r>
    </w:p>
    <w:p>
      <w:pPr>
        <w:pStyle w:val="ListParagraph"/>
        <w:numPr>
          <w:ilvl w:val="0"/>
          <w:numId w:val="3"/>
        </w:numPr>
        <w:spacing w:after="60" w:line="264"/>
      </w:pPr>
      <w:r>
        <w:t xml:space="preserve">Restringir las transiciones a APPROVED/REJECTED/FRAUD_BLOCKED a personal validador.</w:t>
      </w:r>
    </w:p>
    <w:p>
      <w:pPr>
        <w:pStyle w:val="ListParagraph"/>
        <w:numPr>
          <w:ilvl w:val="0"/>
          <w:numId w:val="3"/>
        </w:numPr>
        <w:spacing w:after="60" w:line="264"/>
      </w:pPr>
      <w:r>
        <w:t xml:space="preserve">Derivar la marca del alta de una invitación válida en BD, nunca de metadatos del usuario.</w:t>
      </w:r>
    </w:p>
    <w:p>
      <w:pPr>
        <w:pStyle w:val="ListParagraph"/>
        <w:numPr>
          <w:ilvl w:val="0"/>
          <w:numId w:val="3"/>
        </w:numPr>
        <w:spacing w:after="60" w:line="264"/>
      </w:pPr>
      <w:r>
        <w:t xml:space="preserve">Revertir el GRANT ALL, cerrar el INSERT de audit_log a service_role, quitar el respaldo a user_metadata.</w:t>
      </w:r>
    </w:p>
    <w:p>
      <w:pPr>
        <w:pStyle w:val="ListParagraph"/>
        <w:numPr>
          <w:ilvl w:val="0"/>
          <w:numId w:val="3"/>
        </w:numPr>
        <w:spacing w:after="60" w:line="264"/>
      </w:pPr>
      <w:r>
        <w:t xml:space="preserve">Comprobar inscripción, pertenencia y ámbito en submitEvidence; propiedad en kpis.csv; no resucitar membresías REVOKED.</w:t>
      </w:r>
    </w:p>
    <w:p>
      <w:pPr>
        <w:pStyle w:val="ListParagraph"/>
        <w:numPr>
          <w:ilvl w:val="0"/>
          <w:numId w:val="3"/>
        </w:numPr>
        <w:spacing w:after="60" w:line="264"/>
      </w:pPr>
      <w:r>
        <w:t xml:space="preserve">Filtrar por marca y campaña en las consultas de KPI — corrige por sí solo el reporting falso.</w:t>
      </w:r>
    </w:p>
    <w:p>
      <w:pPr>
        <w:pStyle w:val="ListParagraph"/>
        <w:numPr>
          <w:ilvl w:val="0"/>
          <w:numId w:val="3"/>
        </w:numPr>
        <w:spacing w:after="60" w:line="264"/>
      </w:pPr>
      <w:r>
        <w:t xml:space="preserve">Añadir los 7 índices ausentes, empezando por brand_membership(user_id).</w:t>
      </w:r>
    </w:p>
    <w:p>
      <w:pPr>
        <w:pStyle w:val="Heading2"/>
        <w:spacing w:after="100" w:before="240"/>
      </w:pPr>
      <w:r>
        <w:rPr>
          <w:b/>
          <w:bCs/>
          <w:color w:val="1F2A4D"/>
        </w:rPr>
        <w:t xml:space="preserve">P1 — Antes de producción general (3-4 semanas)</w:t>
      </w:r>
    </w:p>
    <w:p>
      <w:pPr>
        <w:pStyle w:val="ListParagraph"/>
        <w:numPr>
          <w:ilvl w:val="0"/>
          <w:numId w:val="3"/>
        </w:numPr>
        <w:spacing w:after="60" w:line="264"/>
      </w:pPr>
      <w:r>
        <w:t xml:space="preserve">Generar los tipos de Supabase y tipar los clientes: elimina los 50 as-unknown-as y la clase de bug más peligrosa (~2 días).</w:t>
      </w:r>
    </w:p>
    <w:p>
      <w:pPr>
        <w:pStyle w:val="ListParagraph"/>
        <w:numPr>
          <w:ilvl w:val="0"/>
          <w:numId w:val="3"/>
        </w:numPr>
        <w:spacing w:after="60" w:line="264"/>
      </w:pPr>
      <w:r>
        <w:t xml:space="preserve">Quitar ignoreBuildErrors/ignoreDuringBuilds, añadir ESLint y ejecutar lint en CI. El despliegue de migraciones debe exigir CI en verde.</w:t>
      </w:r>
    </w:p>
    <w:p>
      <w:pPr>
        <w:pStyle w:val="ListParagraph"/>
        <w:numPr>
          <w:ilvl w:val="0"/>
          <w:numId w:val="3"/>
        </w:numPr>
        <w:spacing w:after="60" w:line="264"/>
      </w:pPr>
      <w:r>
        <w:t xml:space="preserve">Comprobar errores y dar atomicidad a submitEvidence y a la creación de campañas; validar tamaño y tipo de archivo en servidor.</w:t>
      </w:r>
    </w:p>
    <w:p>
      <w:pPr>
        <w:pStyle w:val="ListParagraph"/>
        <w:numPr>
          <w:ilvl w:val="0"/>
          <w:numId w:val="3"/>
        </w:numPr>
        <w:spacing w:after="60" w:line="264"/>
      </w:pPr>
      <w:r>
        <w:t xml:space="preserve">Unificar la validación de evidencias en un único módulo compartido por Ops y marca.</w:t>
      </w:r>
    </w:p>
    <w:p>
      <w:pPr>
        <w:pStyle w:val="ListParagraph"/>
        <w:numPr>
          <w:ilvl w:val="0"/>
          <w:numId w:val="3"/>
        </w:numPr>
        <w:spacing w:after="60" w:line="264"/>
      </w:pPr>
      <w:r>
        <w:t xml:space="preserve">Aplicar max_seats y los límites de campos en servidor.</w:t>
      </w:r>
    </w:p>
    <w:p>
      <w:pPr>
        <w:pStyle w:val="ListParagraph"/>
        <w:numPr>
          <w:ilvl w:val="0"/>
          <w:numId w:val="3"/>
        </w:numPr>
        <w:spacing w:after="60" w:line="264"/>
      </w:pPr>
      <w:r>
        <w:t xml:space="preserve">Activar PITR, respaldar Storage y hacer el primer ensayo de restauración.</w:t>
      </w:r>
    </w:p>
    <w:p>
      <w:pPr>
        <w:pStyle w:val="ListParagraph"/>
        <w:numPr>
          <w:ilvl w:val="0"/>
          <w:numId w:val="3"/>
        </w:numPr>
        <w:spacing w:after="60" w:line="264"/>
      </w:pPr>
      <w:r>
        <w:t xml:space="preserve">Añadir error.tsx/not-found.tsx y caché de petición (cache() de React).</w:t>
      </w:r>
    </w:p>
    <w:p>
      <w:pPr>
        <w:pStyle w:val="Heading2"/>
        <w:spacing w:after="100" w:before="240"/>
      </w:pPr>
      <w:r>
        <w:rPr>
          <w:b/>
          <w:bCs/>
          <w:color w:val="1F2A4D"/>
        </w:rPr>
        <w:t xml:space="preserve">P2 — Accesibilidad y producto (6-10 semanas)</w:t>
      </w:r>
    </w:p>
    <w:p>
      <w:pPr>
        <w:pStyle w:val="ListParagraph"/>
        <w:numPr>
          <w:ilvl w:val="0"/>
          <w:numId w:val="3"/>
        </w:numPr>
        <w:spacing w:after="60" w:line="264"/>
      </w:pPr>
      <w:r>
        <w:t xml:space="preserve">Capa de primitivas accesibles compartida (identificadores, asociación etiqueta-campo, foco visible, regiones vivas).</w:t>
      </w:r>
    </w:p>
    <w:p>
      <w:pPr>
        <w:pStyle w:val="ListParagraph"/>
        <w:numPr>
          <w:ilvl w:val="0"/>
          <w:numId w:val="3"/>
        </w:numPr>
        <w:spacing w:after="60" w:line="264"/>
      </w:pPr>
      <w:r>
        <w:t xml:space="preserve">Diálogo de confirmación propio para las acciones destructivas.</w:t>
      </w:r>
    </w:p>
    <w:p>
      <w:pPr>
        <w:pStyle w:val="ListParagraph"/>
        <w:numPr>
          <w:ilvl w:val="0"/>
          <w:numId w:val="3"/>
        </w:numPr>
        <w:spacing w:after="60" w:line="264"/>
      </w:pPr>
      <w:r>
        <w:t xml:space="preserve">Corregir el breakpoint inexistente y la duplicación de AppShell.</w:t>
      </w:r>
    </w:p>
    <w:p>
      <w:pPr>
        <w:pStyle w:val="ListParagraph"/>
        <w:numPr>
          <w:ilvl w:val="0"/>
          <w:numId w:val="3"/>
        </w:numPr>
        <w:spacing w:after="60" w:line="264"/>
      </w:pPr>
      <w:r>
        <w:t xml:space="preserve">Decidir sobre i18n: instalar la infraestructura ahora o aceptar formalmente que el requisito del RFP no se cumple.</w:t>
      </w:r>
    </w:p>
    <w:p>
      <w:pPr>
        <w:pStyle w:val="ListParagraph"/>
        <w:numPr>
          <w:ilvl w:val="0"/>
          <w:numId w:val="3"/>
        </w:numPr>
        <w:spacing w:after="60" w:line="264"/>
      </w:pPr>
      <w:r>
        <w:t xml:space="preserve">White-label: columnas de branding en brand, variables CSS por tenant, logo dinámico.</w:t>
      </w:r>
    </w:p>
    <w:p>
      <w:pPr>
        <w:pStyle w:val="ListParagraph"/>
        <w:numPr>
          <w:ilvl w:val="0"/>
          <w:numId w:val="3"/>
        </w:numPr>
        <w:spacing w:after="60" w:line="264"/>
      </w:pPr>
      <w:r>
        <w:t xml:space="preserve">Capa de IA de validación: el esquema ya la contempla (ai_review_run, ValidationKind.AUTO, suspicious_threshold, FRAUD_BLOCKED). Falta el motor.</w:t>
      </w:r>
    </w:p>
    <w:p>
      <w:r>
        <w:br w:type="page"/>
      </w:r>
    </w:p>
    <w:p>
      <w:pPr>
        <w:pStyle w:val="Heading1"/>
        <w:spacing w:after="140" w:before="320"/>
      </w:pPr>
      <w:r>
        <w:rPr>
          <w:b/>
          <w:bCs/>
          <w:color w:val="1F2A4D"/>
        </w:rPr>
        <w:t xml:space="preserve">9. Conclusión</w:t>
      </w:r>
    </w:p>
    <w:p>
      <w:pPr>
        <w:spacing w:after="120" w:line="276"/>
      </w:pPr>
      <w:r>
        <w:t xml:space="preserve">El veredicto de </w:t>
      </w:r>
      <w:r>
        <w:rPr>
          <w:b/>
          <w:bCs/>
        </w:rPr>
        <w:t xml:space="preserve">refactorizar, no reconstruir</w:t>
      </w:r>
      <w:r>
        <w:t xml:space="preserve"> se mantiene y se refuerza: el modelo de datos, el motor de cadenas y la suite de tests son activos reales que costaría meses reproducir.</w:t>
      </w:r>
    </w:p>
    <w:p>
      <w:pPr>
        <w:spacing w:after="120" w:line="276"/>
      </w:pPr>
      <w:r>
        <w:t xml:space="preserve">Pero conviene ser preciso sobre qué se compró y qué se recibió. El proveedor documentó en </w:t>
      </w:r>
      <w:r>
        <w:rPr>
          <w:rFonts w:ascii="Consolas" w:cs="Consolas" w:eastAsia="Consolas" w:hAnsi="Consolas"/>
          <w:color w:val="444444"/>
          <w:sz w:val="18"/>
          <w:szCs w:val="18"/>
        </w:rPr>
        <w:t xml:space="preserve">docs/respuestas-kynda-hito1.md</w:t>
      </w:r>
      <w:r>
        <w:t xml:space="preserve"> una reducción de alcance (solo fotos, validación manual, sin IA) y marca su Hito 1 como cumplido. </w:t>
      </w:r>
      <w:r>
        <w:rPr>
          <w:b/>
          <w:bCs/>
        </w:rPr>
        <w:t xml:space="preserve">Lo entregado es coherente con esa acta, pero no con el RFP original</w:t>
      </w:r>
      <w:r>
        <w:t xml:space="preserve">, que pedía explícitamente validación por IA (Módulo B) y generación de contenido con LLM (Módulo C) como pilares del producto.</w:t>
      </w:r>
    </w:p>
    <w:p>
      <w:pPr>
        <w:spacing w:after="120" w:line="276"/>
      </w:pPr>
      <w:r>
        <w:t xml:space="preserve">Lo que sí queda fuera de cualquier interpretación de alcance es que </w:t>
      </w:r>
      <w:r>
        <w:rPr>
          <w:b/>
          <w:bCs/>
        </w:rPr>
        <w:t xml:space="preserve">la plataforma tiene hoy seis vías verificadas de fuga o escalada entre marcas, y un reporting que empieza a dar cifras falsas al superar las mil evidencias</w:t>
      </w:r>
      <w:r>
        <w:t xml:space="preserve">. Eso no es alcance reducido: es trabajo entregado con defectos, en un producto cuya propuesta de valor es exactamente la verificación fiable del impacto.</w:t>
      </w:r>
    </w:p>
    <w:p>
      <w:pPr>
        <w:pBdr>
          <w:top w:val="single" w:color="CCCCCC" w:sz="4"/>
        </w:pBdr>
        <w:spacing w:before="240"/>
      </w:pPr>
      <w:r>
        <w:rPr>
          <w:i/>
          <w:iCs/>
          <w:color w:val="6B6B6B"/>
          <w:sz w:val="18"/>
          <w:szCs w:val="18"/>
        </w:rPr>
        <w:t xml:space="preserve">Todos los hallazgos de severidad crítica y alta de este informe han sido verificados mediante lectura directa del código fuente.</w:t>
      </w:r>
    </w:p>
    <w:sectPr>
      <w:pgSz w:w="12240" w:h="15840"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lvl w:ilvl="1" w15:tentative="1">
      <w:start w:val="1"/>
      <w:numFmt w:val="bullet"/>
      <w:lvlText w:val="◦"/>
      <w:lvlJc w:val="left"/>
      <w:pPr>
        <w:ind w:left="720" w:hanging="220"/>
      </w:pPr>
    </w:lvl>
  </w:abstractNum>
  <w:abstractNum w:abstractNumId="3" w15:restartNumberingAfterBreak="0">
    <w:multiLevelType w:val="hybridMultilevel"/>
    <w:lvl w:ilvl="0" w15:tentative="1">
      <w:start w:val="1"/>
      <w:numFmt w:val="decimal"/>
      <w:lvlText w:val="%1."/>
      <w:lvlJc w:val="lef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20"/>
    </w:pPr>
    <w:rPr>
      <w:b/>
      <w:bCs/>
      <w:color w:val="1F2A4D"/>
      <w:sz w:val="32"/>
      <w:szCs w:val="32"/>
    </w:rPr>
  </w:style>
  <w:style w:type="paragraph" w:styleId="Heading2">
    <w:name w:val="Heading 2"/>
    <w:basedOn w:val="Normal"/>
    <w:next w:val="Normal"/>
    <w:qFormat/>
    <w:pPr>
      <w:spacing w:after="100" w:before="240"/>
    </w:pPr>
    <w:rPr>
      <w:b/>
      <w:bCs/>
      <w:color w:val="1F2A4D"/>
      <w:sz w:val="25"/>
      <w:szCs w:val="25"/>
    </w:rPr>
  </w:style>
  <w:style w:type="paragraph" w:styleId="Heading3">
    <w:name w:val="Heading 3"/>
    <w:basedOn w:val="Normal"/>
    <w:next w:val="Normal"/>
    <w:qFormat/>
    <w:pPr>
      <w:spacing w:after="60" w:before="180"/>
    </w:pPr>
    <w:rPr>
      <w:b/>
      <w:bCs/>
      <w:color w:val="1F2A4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Auditoría técnica — Plataforma Kynda</dc:title>
  <dc:creator>Auditoría técnica</dc:creator>
  <cp:lastModifiedBy>Un-named</cp:lastModifiedBy>
  <cp:revision>1</cp:revision>
  <dcterms:created xsi:type="dcterms:W3CDTF">2026-08-06T11:47:34.574Z</dcterms:created>
  <dcterms:modified xsi:type="dcterms:W3CDTF">2026-08-06T11:47:34.575Z</dcterms:modified>
</cp:coreProperties>
</file>

<file path=docProps/custom.xml><?xml version="1.0" encoding="utf-8"?>
<Properties xmlns="http://schemas.openxmlformats.org/officeDocument/2006/custom-properties" xmlns:vt="http://schemas.openxmlformats.org/officeDocument/2006/docPropsVTypes"/>
</file>