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600"/>
      </w:pPr>
      <w:r>
        <w:rPr>
          <w:b/>
          <w:bCs/>
          <w:color w:val="6B6B6B"/>
          <w:spacing w:val="60"/>
          <w:sz w:val="30"/>
          <w:szCs w:val="30"/>
        </w:rPr>
        <w:t xml:space="preserve">PRESUPUESTO</w:t>
      </w:r>
    </w:p>
    <w:p>
      <w:pPr>
        <w:spacing w:after="0" w:before="120"/>
      </w:pPr>
      <w:r>
        <w:rPr>
          <w:b/>
          <w:bCs/>
          <w:color w:val="1F2A4D"/>
          <w:sz w:val="64"/>
          <w:szCs w:val="64"/>
        </w:rPr>
        <w:t xml:space="preserve">Remediación crítica</w:t>
      </w:r>
    </w:p>
    <w:p>
      <w:pPr>
        <w:spacing w:after="0" w:before="0"/>
      </w:pPr>
      <w:r>
        <w:rPr>
          <w:b/>
          <w:bCs/>
          <w:color w:val="1F2A4D"/>
          <w:sz w:val="64"/>
          <w:szCs w:val="64"/>
        </w:rPr>
        <w:t xml:space="preserve">Plataforma Kynda</w:t>
      </w:r>
    </w:p>
    <w:p>
      <w:pPr>
        <w:spacing w:after="400" w:before="40"/>
      </w:pPr>
      <w:r>
        <w:rPr>
          <w:color w:val="555555"/>
          <w:sz w:val="28"/>
          <w:szCs w:val="28"/>
        </w:rPr>
        <w:t xml:space="preserve">Cierre de seguridad, corrección de reporting y gobierno de roles</w:t>
      </w:r>
    </w:p>
    <w:p>
      <w:pPr>
        <w:pBdr>
          <w:bottom w:val="single" w:color="1F2A4D" w:sz="12"/>
        </w:pBdr>
        <w:spacing w:after="30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Fecha</w:t>
            </w:r>
          </w:p>
        </w:tc>
        <w:tc>
          <w:tcPr>
            <w:tcW w:type="dxa" w:w="67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6 de agosto de 2026</w:t>
            </w:r>
          </w:p>
        </w:tc>
      </w:tr>
      <w:tr>
        <w:tc>
          <w:tcPr>
            <w:tcW w:type="dxa" w:w="2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Validez de la oferta</w:t>
            </w:r>
          </w:p>
        </w:tc>
        <w:tc>
          <w:tcPr>
            <w:tcW w:type="dxa" w:w="67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30 días</w:t>
            </w:r>
          </w:p>
        </w:tc>
      </w:tr>
      <w:tr>
        <w:tc>
          <w:tcPr>
            <w:tcW w:type="dxa" w:w="2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Base</w:t>
            </w:r>
          </w:p>
        </w:tc>
        <w:tc>
          <w:tcPr>
            <w:tcW w:type="dxa" w:w="67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Auditoría técnica del repositorio kynda-poc (hallazgos verificados sobre el código)</w:t>
            </w:r>
          </w:p>
        </w:tc>
      </w:tr>
      <w:tr>
        <w:tc>
          <w:tcPr>
            <w:tcW w:type="dxa" w:w="2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Unidad</w:t>
            </w:r>
          </w:p>
        </w:tc>
        <w:tc>
          <w:tcPr>
            <w:tcW w:type="dxa" w:w="67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Jornada de desarrollo efectiva</w:t>
            </w:r>
          </w:p>
        </w:tc>
      </w:tr>
      <w:tr>
        <w:tc>
          <w:tcPr>
            <w:tcW w:type="dxa" w:w="2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Tarifa</w:t>
            </w:r>
          </w:p>
        </w:tc>
        <w:tc>
          <w:tcPr>
            <w:tcW w:type="dxa" w:w="67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450 € / jornada</w:t>
            </w:r>
          </w:p>
        </w:tc>
      </w:tr>
      <w:tr>
        <w:tc>
          <w:tcPr>
            <w:tcW w:type="dxa" w:w="2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Total estimado</w:t>
            </w:r>
          </w:p>
        </w:tc>
        <w:tc>
          <w:tcPr>
            <w:tcW w:type="dxa" w:w="67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29,25 – 41,75 jornadas · 13.163 – 18.788 €</w:t>
            </w:r>
          </w:p>
        </w:tc>
      </w:tr>
    </w:tbl>
    <w:p>
      <w:r>
        <w:br w:type="page"/>
      </w:r>
    </w:p>
    <w:p>
      <w:pPr>
        <w:pStyle w:val="Heading1"/>
        <w:spacing w:after="140" w:before="320"/>
      </w:pPr>
      <w:r>
        <w:rPr>
          <w:b/>
          <w:bCs/>
          <w:color w:val="1F2A4D"/>
        </w:rPr>
        <w:t xml:space="preserve">1. Qué cubre este paquete</w:t>
      </w:r>
    </w:p>
    <w:p>
      <w:pPr>
        <w:spacing w:after="120" w:line="276"/>
      </w:pPr>
      <w:r>
        <w:t xml:space="preserve">Solo lo que hoy impide operar con datos reales de clientes. No incluye la IA de validación, ni el motor de contenido, ni la personalización visual por marca: eso es evolución de producto y va en la propuesta de Fase 1.</w:t>
      </w:r>
    </w:p>
    <w:p>
      <w:pPr>
        <w:spacing w:after="120" w:line="276"/>
      </w:pPr>
      <w:r>
        <w:t xml:space="preserve">Tres bloques, en orden de urgencia: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Cerrar los agujeros de seguridad</w:t>
      </w:r>
      <w:r>
        <w:t xml:space="preserve">. Hoy cualquier usuario puede aprobar evidencias de cualquier marca, y un participante puede auto-aprobarse el impacto atacando la base de datos directamente.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Arreglar el reporting</w:t>
      </w:r>
      <w:r>
        <w:t xml:space="preserve">. Los KPIs devuelven cifras falsas sin avisar por encima de mil evidencias.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b/>
          <w:bCs/>
        </w:rPr>
        <w:t xml:space="preserve">Construir el gobierno que falta</w:t>
      </w:r>
      <w:r>
        <w:t xml:space="preserve">. Roles reales y panel de superadministrador, sin el cual no se pueden cerrar del todo los puntos anteriores ni dar de alta un cliente sin desplegar código.</w:t>
      </w:r>
    </w:p>
    <w:p>
      <w:pPr>
        <w:pStyle w:val="Heading1"/>
        <w:spacing w:after="140" w:before="320"/>
      </w:pPr>
      <w:r>
        <w:rPr>
          <w:b/>
          <w:bCs/>
          <w:color w:val="1F2A4D"/>
        </w:rPr>
        <w:t xml:space="preserve">2. Desglose por bloque</w:t>
      </w:r>
    </w:p>
    <w:p>
      <w:pPr>
        <w:pStyle w:val="Heading3"/>
        <w:spacing w:after="60" w:before="180"/>
      </w:pPr>
      <w:r>
        <w:rPr>
          <w:b/>
          <w:bCs/>
          <w:color w:val="1F2A4D"/>
        </w:rPr>
        <w:t xml:space="preserve">R0 — Arranque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0"/>
        <w:gridCol w:w="1900"/>
      </w:tblGrid>
      <w:tr>
        <w:trPr>
          <w:tblHeader/>
        </w:trP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Contenido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Acceso a repositorio y proyecto Supabase, entorno local operativo, ejecución de la suite de tests existente, línea base de estado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2</w:t>
            </w:r>
          </w:p>
        </w:tc>
      </w:tr>
    </w:tbl>
    <w:p>
      <w:pPr>
        <w:pStyle w:val="Heading3"/>
        <w:spacing w:after="60" w:before="180"/>
      </w:pPr>
      <w:r>
        <w:rPr>
          <w:b/>
          <w:bCs/>
          <w:color w:val="1F2A4D"/>
        </w:rPr>
        <w:t xml:space="preserve">R1 — Cierre de agujeros de autorización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0"/>
        <w:gridCol w:w="1900"/>
      </w:tblGrid>
      <w:tr>
        <w:trPr>
          <w:tblHeader/>
        </w:trP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Contenido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Guardián de rol y filtrado por marca en las tres acciones de validación de Ops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Restricción en base de datos: solo el equipo validador puede llevar una evidencia a aprobada, rechazada o bloqueada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1,5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Alta de usuario: derivar la marca de una invitación real en base de datos, no de metadatos que controla el propio usuario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1,5 – 2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Revertir el GRANT ALL a roles públicos, cerrar la inserción en el registro de auditoría, eliminar el respaldo a user_metadata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1,5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Comprobación de pertenencia, inscripción y ámbito al subir evidencia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0,5 – 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Propiedad de campaña en el export de KPIs; fin de la reactivación silenciosa de accesos revocados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0,5 – 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Cola de Ops acotada por marca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0,5 – 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Pruebas de regresión de todo el perímetro de autorización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1,5 – 2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Subtotal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/>
                <w:bCs/>
                <w:color w:val="1F2A4D"/>
              </w:rPr>
              <w:t xml:space="preserve">7,5 – 11</w:t>
            </w:r>
          </w:p>
        </w:tc>
      </w:tr>
    </w:tbl>
    <w:p>
      <w:pPr>
        <w:pStyle w:val="Heading3"/>
        <w:spacing w:after="60" w:before="180"/>
      </w:pPr>
      <w:r>
        <w:rPr>
          <w:b/>
          <w:bCs/>
          <w:color w:val="1F2A4D"/>
        </w:rPr>
        <w:t xml:space="preserve">R2 — Corrección del reporting y rendimiento base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0"/>
        <w:gridCol w:w="1900"/>
      </w:tblGrid>
      <w:tr>
        <w:trPr>
          <w:tblHeader/>
        </w:trP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Contenido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Filtrado por marca y campaña en SQL en las consultas de KPI, con verificación de todos los puntos de llamada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1,5 – 2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Siete índices ausentes, empezando por los que afectan a cada petición autenticada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0,5 – 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Caché de petición en las funciones de sesión y pertenencia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Test que demuestre que los KPIs son correctos por encima del umbral de mil evidencias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Subtotal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/>
                <w:bCs/>
                <w:color w:val="1F2A4D"/>
              </w:rPr>
              <w:t xml:space="preserve">3,5 – 4,5</w:t>
            </w:r>
          </w:p>
        </w:tc>
      </w:tr>
    </w:tbl>
    <w:p>
      <w:pPr>
        <w:pStyle w:val="Heading3"/>
        <w:spacing w:after="60" w:before="180"/>
      </w:pPr>
      <w:r>
        <w:rPr>
          <w:b/>
          <w:bCs/>
          <w:color w:val="1F2A4D"/>
        </w:rPr>
        <w:t xml:space="preserve">R3 — Roles reales y panel de superadministrador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0"/>
        <w:gridCol w:w="1900"/>
      </w:tblGrid>
      <w:tr>
        <w:trPr>
          <w:tblHeader/>
        </w:trP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Contenido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Modelo de permisos en servidor: matriz de roles, guardianes reutilizables, retirada del parche que hace pasar a un admin de marca por operaciones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2 – 3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Alta y edición de marcas desde interfaz (hoy exige editar un fichero SQL y desplegar)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2,5 – 3,5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Gestión de usuarios de staff: crear cuentas de operaciones reales, asignar los seis roles del modelo (hoy solo se pueden asignar dos)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2,5 – 3,5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Trazabilidad de cambios de permisos en el registro de auditoría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Pruebas de aislamiento entre marcas con los roles nuevos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1,5 – 2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Subtotal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/>
                <w:bCs/>
                <w:color w:val="1F2A4D"/>
              </w:rPr>
              <w:t xml:space="preserve">9,5 – 13</w:t>
            </w:r>
          </w:p>
        </w:tc>
      </w:tr>
    </w:tbl>
    <w:p>
      <w:pPr>
        <w:pStyle w:val="Heading3"/>
        <w:spacing w:after="60" w:before="180"/>
      </w:pPr>
      <w:r>
        <w:rPr>
          <w:b/>
          <w:bCs/>
          <w:color w:val="1F2A4D"/>
        </w:rPr>
        <w:t xml:space="preserve">R4 — Correcciones que bloquean una prueba con usuarios reales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0"/>
        <w:gridCol w:w="1900"/>
      </w:tblGrid>
      <w:tr>
        <w:trPr>
          <w:tblHeader/>
        </w:trP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Contenido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Subida de evidencias: atomicidad de los siete pasos, comprobación de errores, validación de tamaño y tipo en servidor, límite real de la plataforma de despliegue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2 – 2,5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Aplicación de plazas por jornada en servidor; validación de los campos dinámicos antes de que entren a los KPIs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1,5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Idempotencia al aprobar y rechazar; unificación de las tres implementaciones divergentes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1,5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Herencia de configuración al crear jornadas (consulta que ordena por una columna inexistente)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0,25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Pantallas de error y de no encontrado; confirmación en acciones destructivas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1,5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Etiquetas de la navegación móvil y duplicación del árbol de páginas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0,5 – 1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Subtotal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/>
                <w:bCs/>
                <w:color w:val="1F2A4D"/>
              </w:rPr>
              <w:t xml:space="preserve">5,75 – 8,25</w:t>
            </w:r>
          </w:p>
        </w:tc>
      </w:tr>
    </w:tbl>
    <w:p>
      <w:pPr>
        <w:pStyle w:val="Heading3"/>
        <w:spacing w:after="60" w:before="180"/>
      </w:pPr>
      <w:r>
        <w:rPr>
          <w:b/>
          <w:bCs/>
          <w:color w:val="1F2A4D"/>
        </w:rPr>
        <w:t xml:space="preserve">R5 — Puerta de calidad y respaldo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60"/>
        <w:gridCol w:w="1900"/>
      </w:tblGrid>
      <w:tr>
        <w:trPr>
          <w:tblHeader/>
        </w:trP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Contenido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El despliegue de migraciones exige integración continua en verde; reactivar la comprobación de tipos y añadir análisis estático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1,5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Activar recuperación a un punto en el tiempo, respaldo de las fotos de evidencia y primer ensayo de restauración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1,5</w:t>
            </w:r>
          </w:p>
        </w:tc>
      </w:tr>
      <w:tr>
        <w:tc>
          <w:tcPr>
            <w:tcW w:type="dxa" w:w="7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Subtotal</w:t>
            </w:r>
          </w:p>
        </w:tc>
        <w:tc>
          <w:tcPr>
            <w:tcW w:type="dxa" w:w="19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/>
                <w:bCs/>
                <w:color w:val="1F2A4D"/>
              </w:rPr>
              <w:t xml:space="preserve">2 – 3</w:t>
            </w:r>
          </w:p>
        </w:tc>
      </w:tr>
    </w:tbl>
    <w:p>
      <w:r>
        <w:br w:type="page"/>
      </w:r>
    </w:p>
    <w:p>
      <w:pPr>
        <w:pStyle w:val="Heading1"/>
        <w:spacing w:after="140" w:before="320"/>
      </w:pPr>
      <w:r>
        <w:rPr>
          <w:b/>
          <w:bCs/>
          <w:color w:val="1F2A4D"/>
        </w:rPr>
        <w:t xml:space="preserve">3. Resumen económico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280"/>
        <w:gridCol w:w="3480"/>
      </w:tblGrid>
      <w:tr>
        <w:trPr>
          <w:tblHeader/>
        </w:trP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Bloque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Importe (450 €/jornada)</w:t>
            </w:r>
          </w:p>
        </w:tc>
      </w:tr>
      <w:t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R0  Arranque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 – 2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450 – 900 €</w:t>
            </w:r>
          </w:p>
        </w:tc>
      </w:tr>
      <w:t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R1  Autorización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7,5 – 11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3.375 – 4.950 €</w:t>
            </w:r>
          </w:p>
        </w:tc>
      </w:tr>
      <w:t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R2  Reporting y rendimiento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3,5 – 4,5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1.575 – 2.025 €</w:t>
            </w:r>
          </w:p>
        </w:tc>
      </w:tr>
      <w:t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R3  Roles y superadmin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9,5 – 13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4.275 – 5.850 €</w:t>
            </w:r>
          </w:p>
        </w:tc>
      </w:tr>
      <w:t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R4  Bloqueantes de prueba con usuarios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5,75 – 8,25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2.588 – 3.713 €</w:t>
            </w:r>
          </w:p>
        </w:tc>
      </w:tr>
      <w:t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000000"/>
              </w:rPr>
              <w:t xml:space="preserve">R5  Calidad y respaldo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2 – 3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900 – 1.350 €</w:t>
            </w:r>
          </w:p>
        </w:tc>
      </w:tr>
      <w:tr>
        <w:tc>
          <w:tcPr>
            <w:tcW w:type="dxa" w:w="36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Total</w:t>
            </w:r>
          </w:p>
        </w:tc>
        <w:tc>
          <w:tcPr>
            <w:tcW w:type="dxa" w:w="22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/>
                <w:bCs/>
                <w:color w:val="1F2A4D"/>
              </w:rPr>
              <w:t xml:space="preserve">29,25 – 41,75</w:t>
            </w:r>
          </w:p>
        </w:tc>
        <w:tc>
          <w:tcPr>
            <w:tcW w:type="dxa" w:w="348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DDE3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/>
                <w:bCs/>
                <w:color w:val="1F2A4D"/>
              </w:rPr>
              <w:t xml:space="preserve">13.163 – 18.788 €</w:t>
            </w:r>
          </w:p>
        </w:tc>
      </w:tr>
    </w:tbl>
    <w:p>
      <w:pPr>
        <w:spacing w:after="140" w:before="180"/>
      </w:pPr>
      <w:r>
        <w:rPr>
          <w:b/>
          <w:bCs/>
        </w:rPr>
        <w:t xml:space="preserve">Cifra de referencia para cierre: </w:t>
      </w:r>
      <w:r>
        <w:rPr>
          <w:b/>
          <w:bCs/>
          <w:color w:val="1F2A4D"/>
          <w:sz w:val="24"/>
          <w:szCs w:val="24"/>
        </w:rPr>
        <w:t xml:space="preserve">35 jornadas · 15.750 €</w:t>
      </w:r>
    </w:p>
    <w:p>
      <w:pPr>
        <w:pStyle w:val="Heading3"/>
        <w:spacing w:after="60" w:before="180"/>
      </w:pPr>
      <w:r>
        <w:rPr>
          <w:b/>
          <w:bCs/>
          <w:color w:val="1F2A4D"/>
        </w:rPr>
        <w:t xml:space="preserve">Calendario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Un desarrollador senior a dedicación completa: </w:t>
      </w:r>
      <w:r>
        <w:rPr>
          <w:b/>
          <w:bCs/>
        </w:rPr>
        <w:t xml:space="preserve">6 a 8 semanas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Dos desarrolladores en paralelo (R1+R2 por un lado, R3 por otro): </w:t>
      </w:r>
      <w:r>
        <w:rPr>
          <w:b/>
          <w:bCs/>
        </w:rPr>
        <w:t xml:space="preserve">4 a 5 semanas</w:t>
      </w:r>
      <w:r>
        <w:t xml:space="preserve">.</w:t>
      </w:r>
    </w:p>
    <w:p>
      <w:pPr>
        <w:pStyle w:val="Heading1"/>
        <w:spacing w:after="140" w:before="320"/>
      </w:pPr>
      <w:r>
        <w:rPr>
          <w:b/>
          <w:bCs/>
          <w:color w:val="1F2A4D"/>
        </w:rPr>
        <w:t xml:space="preserve">4. Opción de entrega por tramos</w:t>
      </w:r>
    </w:p>
    <w:p>
      <w:pPr>
        <w:spacing w:after="120" w:line="276"/>
      </w:pPr>
      <w:r>
        <w:t xml:space="preserve">Si el cliente necesita aprobar por partes, este es el orden que minimiza riesgo. Cada tramo deja el sistema en un estado mejor que el anterior y se puede parar entre uno y otro.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500"/>
        <w:gridCol w:w="2100"/>
        <w:gridCol w:w="3460"/>
      </w:tblGrid>
      <w:tr>
        <w:trPr>
          <w:tblHeader/>
        </w:trPr>
        <w:tc>
          <w:tcPr>
            <w:tcW w:type="dxa" w:w="23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Tramo</w:t>
            </w:r>
          </w:p>
        </w:tc>
        <w:tc>
          <w:tcPr>
            <w:tcW w:type="dxa" w:w="15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Jornadas</w:t>
            </w:r>
          </w:p>
        </w:tc>
        <w:tc>
          <w:tcPr>
            <w:tcW w:type="dxa" w:w="21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Importe</w:t>
            </w:r>
          </w:p>
        </w:tc>
        <w:tc>
          <w:tcPr>
            <w:tcW w:type="dxa" w:w="3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shd w:fill="E8EAF2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  <w:color w:val="1F2A4D"/>
              </w:rPr>
              <w:t xml:space="preserve">Qué desbloquea</w:t>
            </w:r>
          </w:p>
        </w:tc>
      </w:tr>
      <w:tr>
        <w:tc>
          <w:tcPr>
            <w:tcW w:type="dxa" w:w="23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</w:rPr>
              <w:t xml:space="preserve">Tramo 1 — Urgente</w:t>
            </w:r>
          </w:p>
        </w:tc>
        <w:tc>
          <w:tcPr>
            <w:tcW w:type="dxa" w:w="15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12 – 17,5</w:t>
            </w:r>
          </w:p>
        </w:tc>
        <w:tc>
          <w:tcPr>
            <w:tcW w:type="dxa" w:w="21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5.400 – 7.875 €</w:t>
            </w:r>
          </w:p>
        </w:tc>
        <w:tc>
          <w:tcPr>
            <w:tcW w:type="dxa" w:w="3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Se puede operar con datos reales sin riesgo de fuga entre marcas ni informes falsos</w:t>
            </w:r>
          </w:p>
        </w:tc>
      </w:tr>
      <w:tr>
        <w:tc>
          <w:tcPr>
            <w:tcW w:type="dxa" w:w="23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</w:rPr>
              <w:t xml:space="preserve">Tramo 2 — Producto vendible</w:t>
            </w:r>
          </w:p>
        </w:tc>
        <w:tc>
          <w:tcPr>
            <w:tcW w:type="dxa" w:w="15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9,5 – 13</w:t>
            </w:r>
          </w:p>
        </w:tc>
        <w:tc>
          <w:tcPr>
            <w:tcW w:type="dxa" w:w="21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4.275 – 5.850 €</w:t>
            </w:r>
          </w:p>
        </w:tc>
        <w:tc>
          <w:tcPr>
            <w:tcW w:type="dxa" w:w="3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Kynda da de alta clientes sin desarrollador; roles de verdad</w:t>
            </w:r>
          </w:p>
        </w:tc>
      </w:tr>
      <w:tr>
        <w:tc>
          <w:tcPr>
            <w:tcW w:type="dxa" w:w="23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/>
                <w:bCs/>
              </w:rPr>
              <w:t xml:space="preserve">Tramo 3 — Prueba con usuarios</w:t>
            </w:r>
          </w:p>
        </w:tc>
        <w:tc>
          <w:tcPr>
            <w:tcW w:type="dxa" w:w="15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center"/>
            </w:pPr>
            <w:r>
              <w:rPr>
                <w:b w:val="false"/>
                <w:bCs w:val="false"/>
                <w:color w:val="000000"/>
              </w:rPr>
              <w:t xml:space="preserve">7,75 – 11,25</w:t>
            </w:r>
          </w:p>
        </w:tc>
        <w:tc>
          <w:tcPr>
            <w:tcW w:type="dxa" w:w="210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right"/>
            </w:pPr>
            <w:r>
              <w:rPr>
                <w:b w:val="false"/>
                <w:bCs w:val="false"/>
                <w:color w:val="000000"/>
              </w:rPr>
              <w:t xml:space="preserve">3.488 – 5.063 €</w:t>
            </w:r>
          </w:p>
        </w:tc>
        <w:tc>
          <w:tcPr>
            <w:tcW w:type="dxa" w:w="3460"/>
            <w:tcBorders>
              <w:top w:val="single" w:color="D5D8E2" w:sz="2"/>
              <w:left w:val="single" w:color="D5D8E2" w:sz="2"/>
              <w:bottom w:val="single" w:color="D5D8E2" w:sz="2"/>
              <w:right w:val="single" w:color="D5D8E2" w:sz="2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  <w:jc w:val="left"/>
            </w:pPr>
            <w:r>
              <w:rPr>
                <w:b w:val="false"/>
                <w:bCs w:val="false"/>
                <w:color w:val="333333"/>
              </w:rPr>
              <w:t xml:space="preserve">Piloto con voluntarios reales sin fallos visibles ni pérdida de datos</w:t>
            </w:r>
          </w:p>
        </w:tc>
      </w:tr>
    </w:tbl>
    <w:p>
      <w:pPr>
        <w:spacing w:before="140"/>
      </w:pPr>
      <w:r>
        <w:rPr>
          <w:b/>
          <w:bCs/>
        </w:rPr>
        <w:t xml:space="preserve">Recomendación: </w:t>
      </w:r>
      <w:r>
        <w:t xml:space="preserve">no separar el Tramo 1. Los tres bloques que lo componen se tocan entre sí y partirlos genera retrabajo.</w:t>
      </w:r>
    </w:p>
    <w:p>
      <w:pPr>
        <w:pStyle w:val="Heading1"/>
        <w:spacing w:after="140" w:before="320"/>
      </w:pPr>
      <w:r>
        <w:rPr>
          <w:b/>
          <w:bCs/>
          <w:color w:val="1F2A4D"/>
        </w:rPr>
        <w:t xml:space="preserve">5. Criterios de aceptación</w:t>
      </w:r>
    </w:p>
    <w:p>
      <w:pPr>
        <w:spacing w:after="120" w:line="276"/>
      </w:pPr>
      <w:r>
        <w:t xml:space="preserve">El paquete se da por entregado cuando: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Un usuario sin rol de operaciones no puede aprobar ninguna evidencia, ni desde la aplicación ni atacando la base de datos directamente. Demostrado con test automatizado.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Un usuario de la marca A no puede leer ni escribir ningún dato de la marca B. Demostrado con la suite de aislamiento existente, ampliada a los vectores encontrados.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Los KPIs de una campaña coinciden con el cálculo manual sobre la base de datos con más de mil evidencias aprobadas en la plataforma.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Kynda da de alta una marca nueva y asigna roles desde la interfaz, sin tocar código ni desplegar.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La suite de tests pasa en verde y bloquea el despliegue si falla.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Existe un ensayo de restauración documentado, con fecha.</w:t>
      </w:r>
    </w:p>
    <w:p>
      <w:pPr>
        <w:pStyle w:val="Heading1"/>
        <w:spacing w:after="140" w:before="320"/>
      </w:pPr>
      <w:r>
        <w:rPr>
          <w:b/>
          <w:bCs/>
          <w:color w:val="1F2A4D"/>
        </w:rPr>
        <w:t xml:space="preserve">6. Supuestos y exclusiones</w:t>
      </w:r>
    </w:p>
    <w:p>
      <w:pPr>
        <w:pStyle w:val="Heading3"/>
        <w:spacing w:after="60" w:before="180"/>
      </w:pPr>
      <w:r>
        <w:rPr>
          <w:b/>
          <w:bCs/>
          <w:color w:val="1F2A4D"/>
        </w:rPr>
        <w:t xml:space="preserve">Supuestos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Acceso de lectura al repositorio y rol Developer en los proyectos Supabase de validación y producción desde el primer día.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Una sesión inicial con quien construyó el MVP para resolver dudas de contexto.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Las estimaciones son jornadas efectivas de desarrollo, no días naturales.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Se trabaja sobre la arquitectura existente. El veredicto de la auditoría es refactorizar, no reconstruir.</w:t>
      </w:r>
    </w:p>
    <w:p>
      <w:pPr>
        <w:pStyle w:val="Heading3"/>
        <w:spacing w:after="60" w:before="180"/>
      </w:pPr>
      <w:r>
        <w:rPr>
          <w:b/>
          <w:bCs/>
          <w:color w:val="1F2A4D"/>
        </w:rPr>
        <w:t xml:space="preserve">Excluido de este paquete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Capa de validación con inteligencia artificial y motor de generación de contenido. Son el diferencial de producto y van en Fase 1.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Personalización visual por marca.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Internacionalización a inglés (estimada aparte en 3 a 5 semanas).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Rediseño de accesibilidad completo. Aquí solo entran las dos correcciones que rompen funcionalidad.</w:t>
      </w:r>
    </w:p>
    <w:p>
      <w:pPr>
        <w:pStyle w:val="ListParagraph"/>
        <w:numPr>
          <w:ilvl w:val="0"/>
          <w:numId w:val="3"/>
        </w:numPr>
        <w:spacing w:after="60" w:line="264"/>
      </w:pPr>
      <w:r>
        <w:t xml:space="preserve">Asesoría jurídica y revisión de los textos legales, que hoy siguen marcados como borrador en producción.</w:t>
      </w:r>
    </w:p>
    <w:p>
      <w:pPr>
        <w:pStyle w:val="Heading1"/>
        <w:spacing w:after="140" w:before="320"/>
      </w:pPr>
      <w:r>
        <w:rPr>
          <w:b/>
          <w:bCs/>
          <w:color w:val="1F2A4D"/>
        </w:rPr>
        <w:t xml:space="preserve">7. Nota sobre el origen del trabajo</w:t>
      </w:r>
    </w:p>
    <w:p>
      <w:pPr>
        <w:spacing w:after="120" w:line="276"/>
      </w:pPr>
      <w:r>
        <w:t xml:space="preserve">Conviene separar dos cosas al presentar esto. Una parte de lo que falta en la plataforma responde a un recorte de alcance que el proveedor anterior dejó por escrito en su acta de Hito 1: evidencias solo con foto, validación manual, sin IA. Eso es discutible comercialmente, pero fue transparente.</w:t>
      </w:r>
    </w:p>
    <w:p>
      <w:pPr>
        <w:spacing w:after="120" w:line="276"/>
      </w:pPr>
      <w:r>
        <w:t xml:space="preserve">Los agujeros de autorización y el reporting incorrecto no entran en esa categoría. No son alcance reducido: son </w:t>
      </w:r>
      <w:r>
        <w:rPr>
          <w:b/>
          <w:bCs/>
        </w:rPr>
        <w:t xml:space="preserve">defectos en la parte que sí se entregó y se facturó</w:t>
      </w:r>
      <w:r>
        <w:t xml:space="preserve">, en un producto cuya propuesta de valor es precisamente la verificación fiable del impacto. Los bloques R1 y R2 de este presupuesto cubren esa segunda categoría.</w:t>
      </w:r>
    </w:p>
    <w:sectPr>
      <w:pgSz w:w="12240" w:h="15840" w:orient="portrait"/>
      <w:pgMar w:top="1080" w:right="1200" w:bottom="108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20"/>
    </w:pPr>
    <w:rPr>
      <w:b/>
      <w:bCs/>
      <w:color w:val="1F2A4D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b/>
      <w:bCs/>
      <w:color w:val="1F2A4D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60" w:before="180"/>
    </w:pPr>
    <w:rPr>
      <w:b/>
      <w:bCs/>
      <w:color w:val="1F2A4D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 — Remediación crítica plataforma Kynda</dc:title>
  <dc:creator>Presupuesto</dc:creator>
  <cp:lastModifiedBy>Un-named</cp:lastModifiedBy>
  <cp:revision>1</cp:revision>
  <dcterms:created xsi:type="dcterms:W3CDTF">2026-08-11T09:27:24.608Z</dcterms:created>
  <dcterms:modified xsi:type="dcterms:W3CDTF">2026-08-11T09:27:24.608Z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